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001-42638</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OMS Energy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10 Gul Circle</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629566</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1059180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25, 2026, OMS Energy Technologies Inc. (the “Company”) issued a press release dated June 25, 2026, announcing its financial results for the full year ended March 31,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furnished as Exhibit 99.1 to this report on Form 6-K.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12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FF"/>
              </w:rPr>
              <w:t>Press Release dated June 25, 2026 titled: OMS Energy Technologies Inc. Announces Fiscal Year 2026 Financial Results</w:t>
            </w:r>
          </w:p>
        </w:tc>
      </w:tr>
      <w:tr>
        <w:trPr>
          <w:trHeight w:val="3092"/>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80" w:type="dxa"/>
            <w:vAlign w:val="bottom"/>
            <w:tcBorders>
              <w:top w:val="single" w:sz="8" w:color="0000FF"/>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7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27" w:lineRule="exact"/>
        <w:rPr>
          <w:sz w:val="20"/>
          <w:szCs w:val="20"/>
          <w:color w:val="auto"/>
        </w:rPr>
      </w:pPr>
    </w:p>
    <w:p>
      <w:pPr>
        <w:spacing w:after="0"/>
        <w:tabs>
          <w:tab w:leader="none" w:pos="5300" w:val="left"/>
          <w:tab w:leader="none" w:pos="580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18415</wp:posOffset>
            </wp:positionV>
            <wp:extent cx="3446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How Meng Hock</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1253490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OMS Energy Technologies Inc. Announces Fiscal Year 2026 Financial Results</w:t>
      </w:r>
    </w:p>
    <w:p>
      <w:pPr>
        <w:spacing w:after="0" w:line="22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i w:val="1"/>
          <w:iCs w:val="1"/>
          <w:color w:val="auto"/>
        </w:rPr>
        <w:t>Generated Record Operating Cash Flow of $54.1 Million; Maintained Profitability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Debt-Free $154.3 Million Cash Position Supports Continued Geographic Expansion</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SINGAPORE, June 25, 2026 - OMS Energy Technologies Inc. (“OMS” or the “Company”) (NASDAQ: OMSE), a growth-oriented manufacturer of surface wellhead systems (“SWS”) and oil country tubular goods (“OCTG”) for the oil and gas industry, today announced its financial results for the fiscal year ended March 31, 2026. The Company also announced that it has filed its annual report on Form 20-F for the fiscal year ended March 31, 2026 with the U.S. Securities and Exchange Commission.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Financial Highlights</w:t>
      </w:r>
    </w:p>
    <w:p>
      <w:pPr>
        <w:spacing w:after="0" w:line="229" w:lineRule="exact"/>
        <w:rPr>
          <w:sz w:val="20"/>
          <w:szCs w:val="20"/>
          <w:color w:val="auto"/>
        </w:rPr>
      </w:pP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were $155.9 million for fiscal year 2026, compared with $203.6 million for fiscal year 2025.</w:t>
      </w:r>
    </w:p>
    <w:p>
      <w:pPr>
        <w:spacing w:after="0" w:line="25" w:lineRule="exact"/>
        <w:rPr>
          <w:rFonts w:ascii="Times New Roman" w:cs="Times New Roman" w:eastAsia="Times New Roman" w:hAnsi="Times New Roman"/>
          <w:sz w:val="20"/>
          <w:szCs w:val="20"/>
          <w:color w:val="auto"/>
        </w:rPr>
      </w:pP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was 30.3% for fiscal year 2026, compared with 33.9% for fiscal year 2025.</w:t>
      </w: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profit </w:t>
      </w:r>
      <w:r>
        <w:rPr>
          <w:rFonts w:ascii="Times New Roman" w:cs="Times New Roman" w:eastAsia="Times New Roman" w:hAnsi="Times New Roman"/>
          <w:sz w:val="20"/>
          <w:szCs w:val="20"/>
          <w:color w:val="auto"/>
        </w:rPr>
        <w:t>was $34.9 million for fiscal year 2026, compared with $59.9 million for fiscal year 2025.</w:t>
      </w: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EBITDA </w:t>
      </w:r>
      <w:r>
        <w:rPr>
          <w:rFonts w:ascii="Times New Roman" w:cs="Times New Roman" w:eastAsia="Times New Roman" w:hAnsi="Times New Roman"/>
          <w:sz w:val="20"/>
          <w:szCs w:val="20"/>
          <w:color w:val="auto"/>
        </w:rPr>
        <w:t>was $41.2 million for fiscal year 2026, compared with $64.1 million for fiscal year 2025.</w:t>
      </w: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cash provided by operating activities </w:t>
      </w:r>
      <w:r>
        <w:rPr>
          <w:rFonts w:ascii="Times New Roman" w:cs="Times New Roman" w:eastAsia="Times New Roman" w:hAnsi="Times New Roman"/>
          <w:sz w:val="20"/>
          <w:szCs w:val="20"/>
          <w:color w:val="auto"/>
        </w:rPr>
        <w:t>was $54.1 million for fiscal year 2026, compared with $40.5 million for fiscal year 2025.</w:t>
      </w:r>
    </w:p>
    <w:p>
      <w:pPr>
        <w:ind w:left="480" w:hanging="472"/>
        <w:spacing w:after="0"/>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Adjusted free cash flow </w:t>
      </w:r>
      <w:r>
        <w:rPr>
          <w:rFonts w:ascii="Times New Roman" w:cs="Times New Roman" w:eastAsia="Times New Roman" w:hAnsi="Times New Roman"/>
          <w:sz w:val="20"/>
          <w:szCs w:val="20"/>
          <w:color w:val="auto"/>
        </w:rPr>
        <w:t>was $52.5 million for fiscal year 2026, compared with $37.6 million for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Business Highlights</w:t>
      </w:r>
    </w:p>
    <w:p>
      <w:pPr>
        <w:spacing w:after="0" w:line="233" w:lineRule="exact"/>
        <w:rPr>
          <w:sz w:val="20"/>
          <w:szCs w:val="20"/>
          <w:color w:val="auto"/>
        </w:rPr>
      </w:pPr>
    </w:p>
    <w:p>
      <w:pPr>
        <w:jc w:val="both"/>
        <w:ind w:left="480" w:hanging="472"/>
        <w:spacing w:after="0" w:line="245"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2026, OMS Saudi received a US$11 million “Call-off Order” for specialty connectors and pipes under the Company's 10-year agreement with Saudi Aramco, signed in 2024. Call-off Orders are purchase orders issued upon customer request under long-term supply contracts with pre-agreed terms that vary by customer. This order represents the continued conversion of the Company’s agreement with Saudi Aramco into active revenue</w:t>
      </w:r>
    </w:p>
    <w:p>
      <w:pPr>
        <w:jc w:val="both"/>
        <w:ind w:left="480" w:hanging="472"/>
        <w:spacing w:after="0" w:line="239"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March 2026, the Company's subsidiaries in Singapore and Indonesia secured approximately US$2.6 million in surface wellhead system orders and a contract extension from operators in Oman, Pakistan and Indonesia. The orders included OMS's first 10,000-PSI full wellhead and production tree system in Pakistan and a contract extension with Pertamina Hulu Rokan in Indonesia due to demand exceeding the original contract value.</w:t>
      </w:r>
    </w:p>
    <w:p>
      <w:pPr>
        <w:spacing w:after="0" w:line="1" w:lineRule="exact"/>
        <w:rPr>
          <w:rFonts w:ascii="Times New Roman" w:cs="Times New Roman" w:eastAsia="Times New Roman" w:hAnsi="Times New Roman"/>
          <w:sz w:val="20"/>
          <w:szCs w:val="20"/>
          <w:color w:val="auto"/>
        </w:rPr>
      </w:pPr>
    </w:p>
    <w:p>
      <w:pPr>
        <w:jc w:val="both"/>
        <w:ind w:left="480" w:hanging="472"/>
        <w:spacing w:after="0" w:line="239"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2026, the Company's subsidiaries in Singapore and Indonesia secured approximately US$2.2 million in specialty connector orders from oil and gas operators in the United Arab Emirates, Pakistan and Indonesia, advancing its strategy to diversify specialty connector sales beyond its core Saudi Arabian market.</w:t>
      </w:r>
    </w:p>
    <w:p>
      <w:pPr>
        <w:spacing w:after="0" w:line="1" w:lineRule="exact"/>
        <w:rPr>
          <w:rFonts w:ascii="Times New Roman" w:cs="Times New Roman" w:eastAsia="Times New Roman" w:hAnsi="Times New Roman"/>
          <w:sz w:val="20"/>
          <w:szCs w:val="20"/>
          <w:color w:val="auto"/>
        </w:rPr>
      </w:pPr>
    </w:p>
    <w:p>
      <w:pPr>
        <w:jc w:val="both"/>
        <w:ind w:left="480" w:hanging="472"/>
        <w:spacing w:after="0" w:line="239"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January 2026, OMS Saudi earned API Specification 6A certification, enabling the subsidiary to provide repair and maintenance services for wellhead and Christmas tree equipment. Combined with existing API Specifications Q1, 5CT, 5L and 7-1 certifications, this positions OMS Saudi as a supplier of diverse products and services in the Kingdom of Saudi Arabia.</w:t>
      </w:r>
    </w:p>
    <w:p>
      <w:pPr>
        <w:spacing w:after="0" w:line="1" w:lineRule="exact"/>
        <w:rPr>
          <w:rFonts w:ascii="Times New Roman" w:cs="Times New Roman" w:eastAsia="Times New Roman" w:hAnsi="Times New Roman"/>
          <w:sz w:val="20"/>
          <w:szCs w:val="20"/>
          <w:color w:val="auto"/>
        </w:rPr>
      </w:pPr>
    </w:p>
    <w:p>
      <w:pPr>
        <w:jc w:val="both"/>
        <w:ind w:left="480" w:hanging="472"/>
        <w:spacing w:after="0" w:line="242" w:lineRule="auto"/>
        <w:tabs>
          <w:tab w:leader="none" w:pos="4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November 2025, OMS Indonesia obtained API Specification 11D1 certification and expanded its product portfolio with certified, self-developed retrievable mechanical and hydraulic packers, complementing its existing API-6A-certified surface wellheads and Christmas trees.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848995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4" w:name="page5"/>
    <w:bookmarkEnd w:id="4"/>
    <w:p>
      <w:pPr>
        <w:jc w:val="both"/>
        <w:spacing w:after="0" w:line="244" w:lineRule="auto"/>
        <w:rPr>
          <w:sz w:val="20"/>
          <w:szCs w:val="20"/>
          <w:color w:val="auto"/>
        </w:rPr>
      </w:pPr>
      <w:r>
        <w:rPr>
          <w:rFonts w:ascii="Times New Roman" w:cs="Times New Roman" w:eastAsia="Times New Roman" w:hAnsi="Times New Roman"/>
          <w:sz w:val="20"/>
          <w:szCs w:val="20"/>
          <w:color w:val="auto"/>
        </w:rPr>
        <w:t>Mr. How Meng Hock, Chairman and Chief Executive Officer of OMS, commented, “We delivered a resilient performance in fiscal year 2026 amid a challenging operating environment. While revenue reflected the timing of Call-off Orders under our long-term Saudi Aramco contract against an exceptionally high prior-year comparison, our underlying business remained healthy and profitable. We generated record operating cash flow, ended the year debt-free with $154.3 million in cash and restricted cash, and continued to diversify across new geographies and customers, winning our first surface wellhead and Christmas tree contracts in Pakistan and Angola and earning new certifications that expand our addressable opportunities in the Middle East and Southeast Asia. Together with our strong customer relationships and long-term contracts, these achievements position OMS for sustainable growth as industry activity recovers.”</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Mr. Kevin Yeo, Chief Financial Officer, added, “Our fiscal 2026 financial results reflect the strength of OMS’s business model and operational discipline. We maintained profitability despite the year-over-year revenue decline, delivering gross margin of 30.3%, operating profit of $34.9 million, and net profit of $33.9 million. Cash generation was a highlight, with record operating cash flow of $54.1 million and adjusted free cash flow of $52.5 million. We ended the fiscal year debt-free with $154.3 million in cash and restricted cash, providing flexibility to support organic growth initiatives, selectively evaluate strategic expansion opportunities, and drive long-term value creation.”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Fiscal Year 2026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Total revenues for fiscal year 2026 were $155.9 million, compared with $203.6 million for fiscal year 2025. This decline was primarily driven by the timing of Call-off Orders under OMS’s long-term supply agreement with Saudi Aramco, set against an unusually high prior-year base, which included the overlap of the conclusion of the Company’s previous Aramco contract with the ramp-up of its new ten-year agreement signed in early 2024.</w:t>
      </w:r>
    </w:p>
    <w:p>
      <w:pPr>
        <w:spacing w:after="0" w:line="198" w:lineRule="exact"/>
        <w:rPr>
          <w:sz w:val="20"/>
          <w:szCs w:val="20"/>
          <w:color w:val="auto"/>
        </w:rPr>
      </w:pPr>
    </w:p>
    <w:p>
      <w:pPr>
        <w:jc w:val="both"/>
        <w:ind w:left="480" w:hanging="472"/>
        <w:spacing w:after="0" w:line="247"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Specialty connectors and pipes. </w:t>
      </w:r>
      <w:r>
        <w:rPr>
          <w:rFonts w:ascii="Times New Roman" w:cs="Times New Roman" w:eastAsia="Times New Roman" w:hAnsi="Times New Roman"/>
          <w:sz w:val="20"/>
          <w:szCs w:val="20"/>
          <w:color w:val="auto"/>
        </w:rPr>
        <w:t>Revenues from sales of specialty connectors and pipes were $96.1 million for fiscal year 2026,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with $143.1 million for fiscal year 2025. The decrease was mainly driven by the timing of Call-off Orders for specialty connectors and pipes in Saudi Arabia. Excluding Saudi Arabia, revenue from specialty connectors and pipes was $4.6 million for fiscal year 2026, an 130% increase from $2.0 million for fiscal year 2025, primarily contributed by higher export sales to the United Arab Emirates, Pakistan and Indonesia. These orders highlight OMS's accelerating geographic expansion.</w:t>
      </w:r>
    </w:p>
    <w:p>
      <w:pPr>
        <w:spacing w:after="0" w:line="193" w:lineRule="exact"/>
        <w:rPr>
          <w:rFonts w:ascii="Times New Roman" w:cs="Times New Roman" w:eastAsia="Times New Roman" w:hAnsi="Times New Roman"/>
          <w:sz w:val="20"/>
          <w:szCs w:val="20"/>
          <w:color w:val="auto"/>
        </w:rPr>
      </w:pPr>
    </w:p>
    <w:p>
      <w:pPr>
        <w:jc w:val="both"/>
        <w:ind w:left="480" w:hanging="472"/>
        <w:spacing w:after="0" w:line="250"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Surface wellhead and Christmas tree equipment. </w:t>
      </w:r>
      <w:r>
        <w:rPr>
          <w:rFonts w:ascii="Times New Roman" w:cs="Times New Roman" w:eastAsia="Times New Roman" w:hAnsi="Times New Roman"/>
          <w:sz w:val="20"/>
          <w:szCs w:val="20"/>
          <w:color w:val="auto"/>
        </w:rPr>
        <w:t>Revenues from sales of surface wellhead and Christmas tree equipment were $10.9</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for fiscal year 2026, compared with $8.7 million for fiscal year 2025. The increase was largely attributable to stronger demand from a major Indonesian customer. OMS also secured its first surface wellhead and Christmas tree customers in Pakistan and Angola during fiscal year 2026.</w:t>
      </w:r>
    </w:p>
    <w:p>
      <w:pPr>
        <w:spacing w:after="0" w:line="189" w:lineRule="exact"/>
        <w:rPr>
          <w:rFonts w:ascii="Times New Roman" w:cs="Times New Roman" w:eastAsia="Times New Roman" w:hAnsi="Times New Roman"/>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Premium threading services. </w:t>
      </w:r>
      <w:r>
        <w:rPr>
          <w:rFonts w:ascii="Times New Roman" w:cs="Times New Roman" w:eastAsia="Times New Roman" w:hAnsi="Times New Roman"/>
          <w:sz w:val="20"/>
          <w:szCs w:val="20"/>
          <w:color w:val="auto"/>
        </w:rPr>
        <w:t>Revenues from rendering of premium threading services were $33.4 million for fiscal year 2026,</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compared with $36.8 million for fiscal year 2025. The decrease was mainly attributable to reduced oil and gas production in Malaysia and Singapore, partially offset by higher activity in Indonesia and Thailand.</w:t>
      </w:r>
    </w:p>
    <w:p>
      <w:pPr>
        <w:spacing w:after="0" w:line="182" w:lineRule="exact"/>
        <w:rPr>
          <w:rFonts w:ascii="Times New Roman" w:cs="Times New Roman" w:eastAsia="Times New Roman" w:hAnsi="Times New Roman"/>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ancillary services. </w:t>
      </w:r>
      <w:r>
        <w:rPr>
          <w:rFonts w:ascii="Times New Roman" w:cs="Times New Roman" w:eastAsia="Times New Roman" w:hAnsi="Times New Roman"/>
          <w:sz w:val="20"/>
          <w:szCs w:val="20"/>
          <w:color w:val="auto"/>
        </w:rPr>
        <w:t>Revenues generated from other ancillary services were $15.5 million for fiscal year 2026, compared with</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$15.0 million for fiscal year 2025, remaining stable due to consistent demand for repair and inspection services across OMS's primary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840105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5" w:name="page6"/>
    <w:bookmarkEnd w:id="5"/>
    <w:p>
      <w:pPr>
        <w:jc w:val="both"/>
        <w:spacing w:after="0" w:line="246" w:lineRule="auto"/>
        <w:rPr>
          <w:sz w:val="20"/>
          <w:szCs w:val="20"/>
          <w:color w:val="auto"/>
        </w:rPr>
      </w:pPr>
      <w:r>
        <w:rPr>
          <w:rFonts w:ascii="Times New Roman" w:cs="Times New Roman" w:eastAsia="Times New Roman" w:hAnsi="Times New Roman"/>
          <w:sz w:val="20"/>
          <w:szCs w:val="20"/>
          <w:color w:val="auto"/>
        </w:rPr>
        <w:t>As of March 31, 2026, the Company’s backlog was $60.7 million, compared with $102.0 million as of March 31, 2025. The decrease primarily reflects the timing of Call-off Orders under the Company's long-term Saudi contracts rather than a change in underlying customer demand. Management uses backlog as an operating metric to gauge future revenue visibility and to support planning and resource-allocation decisions. It represents estimated revenue from confirmed customer orders and contracts that have not yet been recognized as revenue and are expected to be delivered within the next 12 months.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Cost of revenues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Cost of revenues was $108.7 million for fiscal year 2026, compared with $134.6 million for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Gross profit was $47.2 million for fiscal year 2026, compared with $69.0 million for fiscal year 2025. Gross margin was 30.3% for fiscal year 2026, compared with 33.9% for fiscal year 2025. OMS maintained a healthy gross margin despite a lower sales volume, reflecting continued cost discipline, operational efficiency and customer engagement.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expenses</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Selling, general and administrative expenses, which consist primarily of personnel costs, transportation and logistics, premises-related expenses, legal and professional fees, sales and marketing expenses and risk management-related costs were $12.4 million for fiscal year 2026, compared with $9.1 million for fiscal year 2025. The increase was primarily due to additional post-IPO compliance costs and cybersecurity readiness initiatives.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profit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Operating profit was $34.9 million for fiscal year 2026, compared with $59.9 million for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Total other income, net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other income, net was $0.3 million for fiscal year 2026, compared with $0.2 million for fiscal year 2025, remaining relatively stable.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Expense</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Income tax expense was $4.5 million for fiscal year 2026, compared with $13.2 million for fiscal year 2025. The reported effective tax rate of 11.8% reflected approximately $2.8 million of non-recurring items, including a $2.3 million recovery related to the resolution of a prior-year tax matter in Saudi and a $0.5 million over-provision adjustment in Singapore. Excluding these items, the normalized effective tax rate for fiscal year 2026 would have been approximately 19.1%, broadly in line with the prior-year rate of 21.9%.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Net profit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Net profit was $33.9 million for fiscal year 2026, compared with $47.0 million for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Basic and diluted EPS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Basic and diluted earnings per share were both $0.77 for fiscal year 2026, compared with both $1.18 for fiscal year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Adjusted EBITDA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Adjusted EBITDA was $41.2 million and adjusted EBITDA margin was 26.4% for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Balance sheet and cash flow</w:t>
      </w:r>
    </w:p>
    <w:p>
      <w:pPr>
        <w:spacing w:after="0" w:line="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As of March 31, 2026, the Company’s cash and cash equivalents and restricted cash totaled $154.3 million, compared with $75.8 million as of March 31, 2025, primarily reflecting the inflow from the net IPO proceeds of $28.9 million received in May 2025 and higher net cash provided by operating activities of $54.1 million for fiscal year 2026, compared with net cash provided of $40.5 million for fiscal year 2025.</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Adjusted free cash flow was $52.5 million for fiscal year 2026, an increase of $14.9 million compared with $37.6 million for fiscal year 2025 driven by improved management of receivables, payables and inventory level, including a $15.4 million reduction in inventory as OMS drew down stockpiles previously built ahead of anticipated Saudi Aramco Call-off Orders. As regional order activity resumes, the Company anticipates rebuilding inventory toward its target range of approximately $20 million to $25 million, which is expected to moderate the working capital contribution to free cash flow in future periods.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Annual Report on Form 20-F</w:t>
      </w:r>
    </w:p>
    <w:p>
      <w:pPr>
        <w:spacing w:after="0" w:line="2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20"/>
          <w:szCs w:val="20"/>
          <w:color w:val="auto"/>
        </w:rPr>
        <w:t xml:space="preserve">The Company’s Annual Report on Form 20-F for the fiscal year ended March 31, 2026 has been filed with the SEC and is available on the Investor Relations section of the Company’s website at </w:t>
      </w:r>
      <w:r>
        <w:rPr>
          <w:rFonts w:ascii="Times New Roman" w:cs="Times New Roman" w:eastAsia="Times New Roman" w:hAnsi="Times New Roman"/>
          <w:sz w:val="20"/>
          <w:szCs w:val="20"/>
          <w:color w:val="0563C1"/>
        </w:rPr>
        <w:t>ir.omsos.com</w:t>
      </w:r>
      <w:r>
        <w:rPr>
          <w:rFonts w:ascii="Times New Roman" w:cs="Times New Roman" w:eastAsia="Times New Roman" w:hAnsi="Times New Roman"/>
          <w:sz w:val="20"/>
          <w:szCs w:val="20"/>
          <w:color w:val="auto"/>
        </w:rPr>
        <w:t xml:space="preserve"> and on the SEC’s website at www.sec.gov. Shareholders may receive a hard copy of the Company’s complete audited financial statements free of charge upon request.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The Company’s management will hold an earnings conference call at 8:00 P.M. U.S. Eastern Time on June 25, 2026, or 8:00 A.M. Singapore Time on June 26, 2026 to discuss the financial results.</w:t>
      </w:r>
    </w:p>
    <w:p>
      <w:pPr>
        <w:spacing w:after="0" w:line="19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participants who wish to join the conference using dial-in numbers, please complete online registration using the link provided below prior to the scheduled call start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Online Registration: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https://register-conf.media-server.com/register/BId74ddae27dff4d1cb0684c0bfbdd2a9c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registration, each participant will receive details for the conference call, including dial-in numbers, passcode and a unique access PIN.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join the conference, please dial the provided number, enter the passcode followed by your PIN, and you will join the conference.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live webcast of the conference call will also be available on the Company’s investor relations website at ir.omsos.com.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OMS Energy Technologies Inc.</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OMS Energy Technologies Inc. (NASDAQ: OMSE) is a growth-oriented manufacturer of surface wellhead systems (SWS) and oil country tubular goods (OCTG) for the oil and gas industry. Serving both onshore and offshore exploration and production operators, OMS is a trusted single-source supplier across six vital jurisdictions in the Asia Pacific, Middle Eastern and North African (MENA) regions. The Company’s 11 strategically located manufacturing facilities in key markets ensure rapid response times, customized technical solutions and seamless adaptation to evolving production and logistics needs. Beyond its core SWS and OCTG offerings, OMS also provides premium threading services to maximize operational efficiency for its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please visit ir.omsos.com.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press release contains statements that may constitute “forward-looking” statements which are made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0"/>
          <w:szCs w:val="20"/>
          <w:b w:val="1"/>
          <w:bCs w:val="1"/>
          <w:color w:val="auto"/>
        </w:rPr>
        <w:t>Summary of Financial Results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Financial Positions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9"/>
        </w:trPr>
        <w:tc>
          <w:tcPr>
            <w:tcW w:w="6800" w:type="dxa"/>
            <w:vAlign w:val="bottom"/>
          </w:tcPr>
          <w:p>
            <w:pPr>
              <w:spacing w:after="0"/>
              <w:rPr>
                <w:sz w:val="12"/>
                <w:szCs w:val="12"/>
                <w:color w:val="auto"/>
              </w:rPr>
            </w:pPr>
          </w:p>
        </w:tc>
        <w:tc>
          <w:tcPr>
            <w:tcW w:w="23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800" w:type="dxa"/>
            <w:vAlign w:val="bottom"/>
          </w:tcPr>
          <w:p>
            <w:pPr>
              <w:spacing w:after="0"/>
              <w:rPr>
                <w:sz w:val="15"/>
                <w:szCs w:val="15"/>
                <w:color w:val="auto"/>
              </w:rPr>
            </w:pPr>
          </w:p>
        </w:tc>
        <w:tc>
          <w:tcPr>
            <w:tcW w:w="2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r>
      <w:tr>
        <w:trPr>
          <w:trHeight w:val="142"/>
        </w:trPr>
        <w:tc>
          <w:tcPr>
            <w:tcW w:w="680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6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151,985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 net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from a related party</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198,229</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 net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28,535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non-current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38,911</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237,140</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80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payables and other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27,355</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payable</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29,787</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 obligation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9,962</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100" w:type="dxa"/>
            <w:vAlign w:val="bottom"/>
          </w:tcPr>
          <w:p>
            <w:pPr>
              <w:spacing w:after="0"/>
              <w:rPr>
                <w:sz w:val="18"/>
                <w:szCs w:val="18"/>
                <w:color w:val="auto"/>
              </w:rPr>
            </w:pPr>
          </w:p>
        </w:tc>
      </w:tr>
      <w:tr>
        <w:trPr>
          <w:trHeight w:val="210"/>
        </w:trPr>
        <w:tc>
          <w:tcPr>
            <w:tcW w:w="68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39,749</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premium</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100,999</w:t>
            </w: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90,842</w:t>
            </w:r>
          </w:p>
        </w:tc>
        <w:tc>
          <w:tcPr>
            <w:tcW w:w="2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3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(2,202)</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w:t>
            </w:r>
          </w:p>
        </w:tc>
      </w:tr>
      <w:tr>
        <w:trPr>
          <w:trHeight w:val="210"/>
        </w:trPr>
        <w:tc>
          <w:tcPr>
            <w:tcW w:w="6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189,643</w:t>
            </w:r>
          </w:p>
        </w:tc>
        <w:tc>
          <w:tcPr>
            <w:tcW w:w="260" w:type="dxa"/>
            <w:vAlign w:val="bottom"/>
            <w:tcBorders>
              <w:top w:val="single" w:sz="8" w:color="CFF0FC"/>
            </w:tcBorders>
          </w:tcPr>
          <w:p>
            <w:pPr>
              <w:spacing w:after="0"/>
              <w:rPr>
                <w:sz w:val="18"/>
                <w:szCs w:val="18"/>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 w:type="dxa"/>
            <w:vAlign w:val="bottom"/>
            <w:tcBorders>
              <w:top w:val="single" w:sz="8" w:color="CFF0FC"/>
            </w:tcBorders>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7,748</w:t>
            </w:r>
          </w:p>
        </w:tc>
        <w:tc>
          <w:tcPr>
            <w:tcW w:w="260" w:type="dxa"/>
            <w:vAlign w:val="bottom"/>
            <w:tcBorders>
              <w:bottom w:val="single" w:sz="8" w:color="CFF0FC"/>
            </w:tcBorders>
            <w:shd w:val="clear" w:color="auto" w:fill="CFF0FC"/>
          </w:tcPr>
          <w:p>
            <w:pPr>
              <w:spacing w:after="0"/>
              <w:rPr>
                <w:sz w:val="18"/>
                <w:szCs w:val="18"/>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197,391</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100" w:type="dxa"/>
            <w:vAlign w:val="bottom"/>
          </w:tcPr>
          <w:p>
            <w:pPr>
              <w:spacing w:after="0"/>
              <w:rPr>
                <w:sz w:val="18"/>
                <w:szCs w:val="18"/>
                <w:color w:val="auto"/>
              </w:rPr>
            </w:pPr>
          </w:p>
        </w:tc>
      </w:tr>
      <w:tr>
        <w:trPr>
          <w:trHeight w:val="210"/>
        </w:trPr>
        <w:tc>
          <w:tcPr>
            <w:tcW w:w="68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237,140</w:t>
            </w:r>
          </w:p>
        </w:tc>
        <w:tc>
          <w:tcPr>
            <w:tcW w:w="260" w:type="dxa"/>
            <w:vAlign w:val="bottom"/>
          </w:tcPr>
          <w:p>
            <w:pPr>
              <w:spacing w:after="0"/>
              <w:rPr>
                <w:sz w:val="18"/>
                <w:szCs w:val="18"/>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1"/>
        </w:trPr>
        <w:tc>
          <w:tcPr>
            <w:tcW w:w="68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-6111240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-6111240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-4714240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-3573780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-2742565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-2451100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-1619250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-1336675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Profit or Loss and Other Comprehensive Income</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155,910</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155,910</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203,607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(108,680)</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(134,620)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(108,680)</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(134,620)</w:t>
            </w: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rPr>
                <w:sz w:val="17"/>
                <w:szCs w:val="17"/>
                <w:color w:val="auto"/>
              </w:rPr>
            </w:pPr>
          </w:p>
        </w:tc>
        <w:tc>
          <w:tcPr>
            <w:tcW w:w="3580" w:type="dxa"/>
            <w:vAlign w:val="bottom"/>
            <w:tcBorders>
              <w:top w:val="single" w:sz="8" w:color="CFF0FC"/>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47,230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68,987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(12,373)</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(9,122)</w:t>
            </w: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34,857</w:t>
            </w: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59,865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income, net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349</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income – third parties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income – related parties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40" w:type="dxa"/>
            <w:vAlign w:val="bottom"/>
          </w:tcPr>
          <w:p>
            <w:pPr>
              <w:spacing w:after="0"/>
              <w:rPr>
                <w:sz w:val="17"/>
                <w:szCs w:val="17"/>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3,593</w:t>
            </w:r>
          </w:p>
        </w:tc>
        <w:tc>
          <w:tcPr>
            <w:tcW w:w="240" w:type="dxa"/>
            <w:vAlign w:val="bottom"/>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cost</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(404)</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(284)</w:t>
            </w:r>
          </w:p>
        </w:tc>
        <w:tc>
          <w:tcPr>
            <w:tcW w:w="0" w:type="dxa"/>
            <w:vAlign w:val="bottom"/>
          </w:tcPr>
          <w:p>
            <w:pPr>
              <w:spacing w:after="0"/>
              <w:rPr>
                <w:sz w:val="1"/>
                <w:szCs w:val="1"/>
                <w:color w:val="auto"/>
              </w:rPr>
            </w:pPr>
          </w:p>
        </w:tc>
      </w:tr>
      <w:tr>
        <w:trPr>
          <w:trHeight w:val="20"/>
        </w:trPr>
        <w:tc>
          <w:tcPr>
            <w:tcW w:w="3200" w:type="dxa"/>
            <w:vAlign w:val="bottom"/>
            <w:shd w:val="clear" w:color="auto" w:fill="CFF0FC"/>
          </w:tcPr>
          <w:p>
            <w:pPr>
              <w:spacing w:after="0" w:line="20" w:lineRule="exact"/>
              <w:rPr>
                <w:sz w:val="1"/>
                <w:szCs w:val="1"/>
                <w:color w:val="auto"/>
              </w:rPr>
            </w:pPr>
          </w:p>
        </w:tc>
        <w:tc>
          <w:tcPr>
            <w:tcW w:w="3580" w:type="dxa"/>
            <w:vAlign w:val="bottom"/>
            <w:shd w:val="clear" w:color="auto" w:fill="CFF0FC"/>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finance cost</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(404)</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(284)</w:t>
            </w: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38,395</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60,166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(4,517)</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(13,189)</w:t>
            </w: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33,878</w:t>
            </w: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income/(loss):</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200" w:type="dxa"/>
            <w:vAlign w:val="bottom"/>
            <w:tcBorders>
              <w:bottom w:val="single" w:sz="8" w:color="auto"/>
            </w:tcBorders>
            <w:shd w:val="clear" w:color="auto" w:fill="CFF0FC"/>
          </w:tcPr>
          <w:p>
            <w:pPr>
              <w:spacing w:after="0" w:line="162" w:lineRule="exact"/>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3580" w:type="dxa"/>
            <w:vAlign w:val="bottom"/>
            <w:tcBorders>
              <w:bottom w:val="single" w:sz="8" w:color="CFF0FC"/>
            </w:tcBorders>
            <w:shd w:val="clear" w:color="auto" w:fill="CFF0FC"/>
          </w:tcPr>
          <w:p>
            <w:pPr>
              <w:spacing w:after="0"/>
              <w:rPr>
                <w:sz w:val="15"/>
                <w:szCs w:val="15"/>
                <w:color w:val="auto"/>
              </w:rPr>
            </w:pPr>
          </w:p>
        </w:tc>
        <w:tc>
          <w:tcPr>
            <w:tcW w:w="20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20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Changes resulting from actuarial remeasurement of</w:t>
            </w:r>
          </w:p>
        </w:tc>
        <w:tc>
          <w:tcPr>
            <w:tcW w:w="2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(85)</w:t>
            </w:r>
          </w:p>
        </w:tc>
        <w:tc>
          <w:tcPr>
            <w:tcW w:w="21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2320" w:type="dxa"/>
            <w:vAlign w:val="bottom"/>
            <w:gridSpan w:val="2"/>
            <w:vMerge w:val="continue"/>
            <w:shd w:val="clear" w:color="auto" w:fill="CFF0FC"/>
          </w:tcPr>
          <w:p>
            <w:pPr>
              <w:spacing w:after="0"/>
              <w:rPr>
                <w:sz w:val="17"/>
                <w:szCs w:val="17"/>
                <w:color w:val="auto"/>
              </w:rPr>
            </w:pPr>
          </w:p>
        </w:tc>
        <w:tc>
          <w:tcPr>
            <w:tcW w:w="2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 net of tax</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w:t>
            </w: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2,256</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34,453</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 attributable to:</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32,208</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33,878</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46,977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32,403</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34,453</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49,233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outstanding</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42,002,230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37,822,500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 (as adjusted) (US$)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0.77</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1"/>
        </w:trPr>
        <w:tc>
          <w:tcPr>
            <w:tcW w:w="32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-6694170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-6694170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-6162675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-6162675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-5640070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-5640070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-4328795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-4328795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-3796665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-2896870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-2622550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-2622550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-2099310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-1302385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320" w:type="dxa"/>
            <w:vAlign w:val="bottom"/>
            <w:gridSpan w:val="2"/>
          </w:tcPr>
          <w:p>
            <w:pPr>
              <w:jc w:val="right"/>
              <w:ind w:right="96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140" w:type="dxa"/>
            <w:vAlign w:val="bottom"/>
            <w:gridSpan w:val="2"/>
          </w:tcPr>
          <w:p>
            <w:pPr>
              <w:jc w:val="right"/>
              <w:ind w:right="820"/>
              <w:spacing w:after="0" w:line="149"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3"/>
        </w:trPr>
        <w:tc>
          <w:tcPr>
            <w:tcW w:w="6780" w:type="dxa"/>
            <w:vAlign w:val="bottom"/>
          </w:tcPr>
          <w:p>
            <w:pPr>
              <w:spacing w:after="0"/>
              <w:rPr>
                <w:sz w:val="15"/>
                <w:szCs w:val="15"/>
                <w:color w:val="auto"/>
              </w:rPr>
            </w:pPr>
          </w:p>
        </w:tc>
        <w:tc>
          <w:tcPr>
            <w:tcW w:w="2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42"/>
        </w:trPr>
        <w:tc>
          <w:tcPr>
            <w:tcW w:w="6780" w:type="dxa"/>
            <w:vAlign w:val="bottom"/>
          </w:tcPr>
          <w:p>
            <w:pPr>
              <w:spacing w:after="0"/>
              <w:rPr>
                <w:sz w:val="12"/>
                <w:szCs w:val="12"/>
                <w:color w:val="auto"/>
              </w:rPr>
            </w:pPr>
          </w:p>
        </w:tc>
        <w:tc>
          <w:tcPr>
            <w:tcW w:w="20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20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profit</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33,878</w:t>
            </w:r>
          </w:p>
        </w:tc>
        <w:tc>
          <w:tcPr>
            <w:tcW w:w="24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46,977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for:</w:t>
            </w:r>
          </w:p>
        </w:tc>
        <w:tc>
          <w:tcPr>
            <w:tcW w:w="2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 expenses</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4,517</w:t>
            </w:r>
          </w:p>
        </w:tc>
        <w:tc>
          <w:tcPr>
            <w:tcW w:w="24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of property, plant and equipment</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4,679</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intangible assets</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4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of right-of-use assets</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1,620</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(Reversal of)/allowance for inventories obsolescence</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(780)</w:t>
            </w: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(Reversal of)/allowance for expected credit losses</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(81)</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Finance costs</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Finance income</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2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26"/>
        </w:trPr>
        <w:tc>
          <w:tcPr>
            <w:tcW w:w="678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Net gain on fair value changes of financial liabilities at fair value</w:t>
            </w:r>
          </w:p>
        </w:tc>
        <w:tc>
          <w:tcPr>
            <w:tcW w:w="23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(413)</w:t>
            </w:r>
          </w:p>
        </w:tc>
        <w:tc>
          <w:tcPr>
            <w:tcW w:w="2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through profit or loss</w:t>
            </w:r>
          </w:p>
        </w:tc>
        <w:tc>
          <w:tcPr>
            <w:tcW w:w="2320" w:type="dxa"/>
            <w:vAlign w:val="bottom"/>
            <w:gridSpan w:val="2"/>
            <w:vMerge w:val="continue"/>
            <w:shd w:val="clear" w:color="auto" w:fill="CFF0FC"/>
          </w:tcPr>
          <w:p>
            <w:pPr>
              <w:spacing w:after="0"/>
              <w:rPr>
                <w:sz w:val="14"/>
                <w:szCs w:val="14"/>
                <w:color w:val="auto"/>
              </w:rPr>
            </w:pPr>
          </w:p>
        </w:tc>
        <w:tc>
          <w:tcPr>
            <w:tcW w:w="21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Loss on unrealized foreign exchange</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spacing w:after="0"/>
              <w:rPr>
                <w:sz w:val="12"/>
                <w:szCs w:val="12"/>
                <w:color w:val="auto"/>
              </w:rPr>
            </w:pPr>
          </w:p>
        </w:tc>
        <w:tc>
          <w:tcPr>
            <w:tcW w:w="2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Trade receivables</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(5,407)</w:t>
            </w: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Contract assets</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(749)</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16,165</w:t>
            </w:r>
          </w:p>
        </w:tc>
        <w:tc>
          <w:tcPr>
            <w:tcW w:w="2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(2,329)</w:t>
            </w:r>
          </w:p>
        </w:tc>
        <w:tc>
          <w:tcPr>
            <w:tcW w:w="0" w:type="dxa"/>
            <w:vAlign w:val="bottom"/>
          </w:tcPr>
          <w:p>
            <w:pPr>
              <w:spacing w:after="0"/>
              <w:rPr>
                <w:sz w:val="1"/>
                <w:szCs w:val="1"/>
                <w:color w:val="auto"/>
              </w:rPr>
            </w:pPr>
          </w:p>
        </w:tc>
      </w:tr>
      <w:tr>
        <w:trPr>
          <w:trHeight w:val="148"/>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Prepayment and other assets</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(2,401)</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Trade and other payables</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12,576</w:t>
            </w:r>
          </w:p>
        </w:tc>
        <w:tc>
          <w:tcPr>
            <w:tcW w:w="2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(32,239)</w:t>
            </w:r>
          </w:p>
        </w:tc>
        <w:tc>
          <w:tcPr>
            <w:tcW w:w="0" w:type="dxa"/>
            <w:vAlign w:val="bottom"/>
          </w:tcPr>
          <w:p>
            <w:pPr>
              <w:spacing w:after="0"/>
              <w:rPr>
                <w:sz w:val="1"/>
                <w:szCs w:val="1"/>
                <w:color w:val="auto"/>
              </w:rPr>
            </w:pPr>
          </w:p>
        </w:tc>
      </w:tr>
      <w:tr>
        <w:trPr>
          <w:trHeight w:val="149"/>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Employee benefits obligation</w:t>
            </w:r>
          </w:p>
        </w:tc>
        <w:tc>
          <w:tcPr>
            <w:tcW w:w="2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516</w:t>
            </w:r>
          </w:p>
        </w:tc>
        <w:tc>
          <w:tcPr>
            <w:tcW w:w="240" w:type="dxa"/>
            <w:vAlign w:val="bottom"/>
          </w:tcPr>
          <w:p>
            <w:pPr>
              <w:spacing w:after="0"/>
              <w:rPr>
                <w:sz w:val="12"/>
                <w:szCs w:val="12"/>
                <w:color w:val="auto"/>
              </w:rPr>
            </w:pPr>
          </w:p>
        </w:tc>
        <w:tc>
          <w:tcPr>
            <w:tcW w:w="2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rPr>
                <w:sz w:val="12"/>
                <w:szCs w:val="12"/>
                <w:color w:val="auto"/>
              </w:rPr>
            </w:pPr>
          </w:p>
        </w:tc>
        <w:tc>
          <w:tcPr>
            <w:tcW w:w="2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61,345</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51,653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provided by operations: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Interest received</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3,593</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 refund</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2,398</w:t>
            </w:r>
          </w:p>
        </w:tc>
        <w:tc>
          <w:tcPr>
            <w:tcW w:w="240" w:type="dxa"/>
            <w:vAlign w:val="bottom"/>
          </w:tcPr>
          <w:p>
            <w:pPr>
              <w:spacing w:after="0"/>
              <w:rPr>
                <w:sz w:val="12"/>
                <w:szCs w:val="12"/>
                <w:color w:val="auto"/>
              </w:rPr>
            </w:pPr>
          </w:p>
        </w:tc>
        <w:tc>
          <w:tcPr>
            <w:tcW w:w="2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Income taxes paid</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(13,218)</w:t>
            </w:r>
          </w:p>
        </w:tc>
        <w:tc>
          <w:tcPr>
            <w:tcW w:w="2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(11,490)</w:t>
            </w:r>
          </w:p>
        </w:tc>
        <w:tc>
          <w:tcPr>
            <w:tcW w:w="0" w:type="dxa"/>
            <w:vAlign w:val="bottom"/>
          </w:tcPr>
          <w:p>
            <w:pPr>
              <w:spacing w:after="0"/>
              <w:rPr>
                <w:sz w:val="1"/>
                <w:szCs w:val="1"/>
                <w:color w:val="auto"/>
              </w:rPr>
            </w:pPr>
          </w:p>
        </w:tc>
      </w:tr>
      <w:tr>
        <w:trPr>
          <w:trHeight w:val="142"/>
        </w:trPr>
        <w:tc>
          <w:tcPr>
            <w:tcW w:w="678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0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54,118</w:t>
            </w:r>
          </w:p>
        </w:tc>
        <w:tc>
          <w:tcPr>
            <w:tcW w:w="240" w:type="dxa"/>
            <w:vAlign w:val="bottom"/>
            <w:tcBorders>
              <w:top w:val="single" w:sz="8" w:color="CFF0FC"/>
            </w:tcBorders>
          </w:tcPr>
          <w:p>
            <w:pPr>
              <w:spacing w:after="0"/>
              <w:rPr>
                <w:sz w:val="12"/>
                <w:szCs w:val="12"/>
                <w:color w:val="auto"/>
              </w:rPr>
            </w:pPr>
          </w:p>
        </w:tc>
        <w:tc>
          <w:tcPr>
            <w:tcW w:w="2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40,502</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spacing w:after="0"/>
              <w:rPr>
                <w:sz w:val="12"/>
                <w:szCs w:val="12"/>
                <w:color w:val="auto"/>
              </w:rPr>
            </w:pPr>
          </w:p>
        </w:tc>
        <w:tc>
          <w:tcPr>
            <w:tcW w:w="2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Proceeds from sale of property, plant and equipment</w:t>
            </w:r>
          </w:p>
        </w:tc>
        <w:tc>
          <w:tcPr>
            <w:tcW w:w="2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property, plant and equipment</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(1,114)</w:t>
            </w:r>
          </w:p>
        </w:tc>
        <w:tc>
          <w:tcPr>
            <w:tcW w:w="2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(2,863)</w:t>
            </w: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Acquisition of intangible asset</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(523)</w:t>
            </w:r>
          </w:p>
        </w:tc>
        <w:tc>
          <w:tcPr>
            <w:tcW w:w="2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(Loan to)/repayment from related parties</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(400)</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320" w:type="dxa"/>
            <w:vAlign w:val="bottom"/>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(2,035)</w:t>
            </w:r>
          </w:p>
        </w:tc>
        <w:tc>
          <w:tcPr>
            <w:tcW w:w="2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(2,862)</w:t>
            </w:r>
          </w:p>
        </w:tc>
        <w:tc>
          <w:tcPr>
            <w:tcW w:w="0" w:type="dxa"/>
            <w:vAlign w:val="bottom"/>
          </w:tcPr>
          <w:p>
            <w:pPr>
              <w:spacing w:after="0"/>
              <w:rPr>
                <w:sz w:val="1"/>
                <w:szCs w:val="1"/>
                <w:color w:val="auto"/>
              </w:rPr>
            </w:pPr>
          </w:p>
        </w:tc>
      </w:tr>
      <w:tr>
        <w:trPr>
          <w:trHeight w:val="149"/>
        </w:trPr>
        <w:tc>
          <w:tcPr>
            <w:tcW w:w="67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0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Proceeds from issuance of ordinary shares</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30,583</w:t>
            </w:r>
          </w:p>
        </w:tc>
        <w:tc>
          <w:tcPr>
            <w:tcW w:w="240" w:type="dxa"/>
            <w:vAlign w:val="bottom"/>
          </w:tcPr>
          <w:p>
            <w:pPr>
              <w:spacing w:after="0"/>
              <w:rPr>
                <w:sz w:val="12"/>
                <w:szCs w:val="12"/>
                <w:color w:val="auto"/>
              </w:rPr>
            </w:pPr>
          </w:p>
        </w:tc>
        <w:tc>
          <w:tcPr>
            <w:tcW w:w="21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Payment of offering cost</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(1,731)</w:t>
            </w:r>
          </w:p>
        </w:tc>
        <w:tc>
          <w:tcPr>
            <w:tcW w:w="21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Repayment of loans and borrowings</w:t>
            </w:r>
          </w:p>
        </w:tc>
        <w:tc>
          <w:tcPr>
            <w:tcW w:w="23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(6,504)</w:t>
            </w:r>
          </w:p>
        </w:tc>
        <w:tc>
          <w:tcPr>
            <w:tcW w:w="0" w:type="dxa"/>
            <w:vAlign w:val="bottom"/>
          </w:tcPr>
          <w:p>
            <w:pPr>
              <w:spacing w:after="0"/>
              <w:rPr>
                <w:sz w:val="1"/>
                <w:szCs w:val="1"/>
                <w:color w:val="auto"/>
              </w:rPr>
            </w:pPr>
          </w:p>
        </w:tc>
      </w:tr>
      <w:tr>
        <w:trPr>
          <w:trHeight w:val="149"/>
        </w:trPr>
        <w:tc>
          <w:tcPr>
            <w:tcW w:w="6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232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(404)</w:t>
            </w:r>
          </w:p>
        </w:tc>
        <w:tc>
          <w:tcPr>
            <w:tcW w:w="21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of lease liabilities</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(1,468)</w:t>
            </w:r>
          </w:p>
        </w:tc>
        <w:tc>
          <w:tcPr>
            <w:tcW w:w="21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by/(used in) financing activities</w:t>
            </w:r>
          </w:p>
        </w:tc>
        <w:tc>
          <w:tcPr>
            <w:tcW w:w="2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26,980</w:t>
            </w:r>
          </w:p>
        </w:tc>
        <w:tc>
          <w:tcPr>
            <w:tcW w:w="240" w:type="dxa"/>
            <w:vAlign w:val="bottom"/>
            <w:shd w:val="clear" w:color="auto" w:fill="CFF0FC"/>
          </w:tcPr>
          <w:p>
            <w:pPr>
              <w:spacing w:after="0"/>
              <w:rPr>
                <w:sz w:val="12"/>
                <w:szCs w:val="12"/>
                <w:color w:val="auto"/>
              </w:rPr>
            </w:pPr>
          </w:p>
        </w:tc>
        <w:tc>
          <w:tcPr>
            <w:tcW w:w="214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(8,059)</w:t>
            </w: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foreign exchange on cash, cash equivalents and restricted cash</w:t>
            </w:r>
          </w:p>
        </w:tc>
        <w:tc>
          <w:tcPr>
            <w:tcW w:w="23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(592)</w:t>
            </w: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208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78,471</w:t>
            </w:r>
          </w:p>
        </w:tc>
        <w:tc>
          <w:tcPr>
            <w:tcW w:w="240" w:type="dxa"/>
            <w:vAlign w:val="bottom"/>
            <w:shd w:val="clear" w:color="auto" w:fill="CFF0FC"/>
          </w:tcPr>
          <w:p>
            <w:pPr>
              <w:spacing w:after="0"/>
              <w:rPr>
                <w:sz w:val="12"/>
                <w:szCs w:val="12"/>
                <w:color w:val="auto"/>
              </w:rPr>
            </w:pPr>
          </w:p>
        </w:tc>
        <w:tc>
          <w:tcPr>
            <w:tcW w:w="20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30,401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cash equivalents and restricted cash at beginning of year</w:t>
            </w:r>
          </w:p>
        </w:tc>
        <w:tc>
          <w:tcPr>
            <w:tcW w:w="2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75,831</w:t>
            </w:r>
          </w:p>
        </w:tc>
        <w:tc>
          <w:tcPr>
            <w:tcW w:w="240" w:type="dxa"/>
            <w:vAlign w:val="bottom"/>
          </w:tcPr>
          <w:p>
            <w:pPr>
              <w:spacing w:after="0"/>
              <w:rPr>
                <w:sz w:val="12"/>
                <w:szCs w:val="12"/>
                <w:color w:val="auto"/>
              </w:rPr>
            </w:pPr>
          </w:p>
        </w:tc>
        <w:tc>
          <w:tcPr>
            <w:tcW w:w="20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45,430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 at end of year</w:t>
            </w:r>
          </w:p>
        </w:tc>
        <w:tc>
          <w:tcPr>
            <w:tcW w:w="2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154,302</w:t>
            </w:r>
          </w:p>
        </w:tc>
        <w:tc>
          <w:tcPr>
            <w:tcW w:w="240" w:type="dxa"/>
            <w:vAlign w:val="bottom"/>
            <w:shd w:val="clear" w:color="auto" w:fill="CFF0FC"/>
          </w:tcPr>
          <w:p>
            <w:pPr>
              <w:spacing w:after="0"/>
              <w:rPr>
                <w:sz w:val="12"/>
                <w:szCs w:val="12"/>
                <w:color w:val="auto"/>
              </w:rPr>
            </w:pPr>
          </w:p>
        </w:tc>
        <w:tc>
          <w:tcPr>
            <w:tcW w:w="20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75,831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non-current</w:t>
            </w:r>
          </w:p>
        </w:tc>
        <w:tc>
          <w:tcPr>
            <w:tcW w:w="2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40" w:type="dxa"/>
            <w:vAlign w:val="bottom"/>
          </w:tcPr>
          <w:p>
            <w:pPr>
              <w:spacing w:after="0"/>
              <w:rPr>
                <w:sz w:val="12"/>
                <w:szCs w:val="12"/>
                <w:color w:val="auto"/>
              </w:rPr>
            </w:pPr>
          </w:p>
        </w:tc>
        <w:tc>
          <w:tcPr>
            <w:tcW w:w="2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tcBorders>
              <w:bottom w:val="single" w:sz="8" w:color="CFF0FC"/>
            </w:tcBorders>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Restricted cash, current</w:t>
            </w:r>
          </w:p>
        </w:tc>
        <w:tc>
          <w:tcPr>
            <w:tcW w:w="2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1,977</w:t>
            </w:r>
          </w:p>
        </w:tc>
        <w:tc>
          <w:tcPr>
            <w:tcW w:w="240" w:type="dxa"/>
            <w:vAlign w:val="bottom"/>
            <w:tcBorders>
              <w:bottom w:val="single" w:sz="8" w:color="CFF0FC"/>
            </w:tcBorders>
            <w:shd w:val="clear" w:color="auto" w:fill="CFF0FC"/>
          </w:tcPr>
          <w:p>
            <w:pPr>
              <w:spacing w:after="0"/>
              <w:rPr>
                <w:sz w:val="12"/>
                <w:szCs w:val="12"/>
                <w:color w:val="auto"/>
              </w:rPr>
            </w:pPr>
          </w:p>
        </w:tc>
        <w:tc>
          <w:tcPr>
            <w:tcW w:w="20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7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year</w:t>
            </w:r>
          </w:p>
        </w:tc>
        <w:tc>
          <w:tcPr>
            <w:tcW w:w="2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151,985</w:t>
            </w:r>
          </w:p>
        </w:tc>
        <w:tc>
          <w:tcPr>
            <w:tcW w:w="240" w:type="dxa"/>
            <w:vAlign w:val="bottom"/>
          </w:tcPr>
          <w:p>
            <w:pPr>
              <w:spacing w:after="0"/>
              <w:rPr>
                <w:sz w:val="12"/>
                <w:szCs w:val="12"/>
                <w:color w:val="auto"/>
              </w:rPr>
            </w:pPr>
          </w:p>
        </w:tc>
        <w:tc>
          <w:tcPr>
            <w:tcW w:w="2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72,950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7"/>
        </w:trPr>
        <w:tc>
          <w:tcPr>
            <w:tcW w:w="67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-3265170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-3265170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-1148080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Non-IFRS Financial Measures</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This document includes references to non-IFRS financial measures, including: Adjusted EBITDA and Adjusted Free Cash Flow. These measures provide meaningful supplemental information regarding OMS's performance by eliminating items that are not central to OMS's core business.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However, there are a number of limitations related to the use of non-IFRS financial measures, and as such, the presentation of these non-IFRS financial measures should not be considered in isolation from, or as an alternative to, financial measures determined in accordance with IFRS. In addition, these non-IFRS financial measures may differ from non-IFRS measures with comparable names used by other companies. See below for additional explanations about the non-IFRS financial measures, including their definitions and a reconciliation of these forward-looking non-IFRS measures to the most directly comparable IFRS financial measures.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Explanation of non-IFRS financial measures:</w:t>
      </w:r>
    </w:p>
    <w:p>
      <w:pPr>
        <w:spacing w:after="0" w:line="33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is calculated as net profit for the period adjusted to exclude: (i) income tax expense, (ii) other income, net,</w:t>
      </w:r>
    </w:p>
    <w:p>
      <w:pPr>
        <w:spacing w:after="0" w:line="21" w:lineRule="exact"/>
        <w:rPr>
          <w:rFonts w:ascii="Times New Roman" w:cs="Times New Roman" w:eastAsia="Times New Roman" w:hAnsi="Times New Roman"/>
          <w:sz w:val="20"/>
          <w:szCs w:val="20"/>
          <w:color w:val="auto"/>
        </w:rPr>
      </w:pPr>
    </w:p>
    <w:p>
      <w:pPr>
        <w:jc w:val="both"/>
        <w:ind w:left="1020" w:firstLine="6"/>
        <w:spacing w:after="0" w:line="241" w:lineRule="auto"/>
        <w:tabs>
          <w:tab w:leader="none" w:pos="138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finance income, (iv) finance cost and (v) depreciation and amortization, including lease depreciation. Adjusted EBITDA shows a clearer picture of the earnings generated from the Company's operations by excluding the impact of non-cash items, financing costs and income, taxes and other items not considered indicative of the Company's core operating performance, providing management and investors a clearer metric to evaluate the profitability and cash generation capability of the Company's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Reconciliation of Net Profit to Adjusted EBITDA (Non-IFRS)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20" w:type="dxa"/>
            <w:vAlign w:val="bottom"/>
          </w:tcPr>
          <w:p>
            <w:pPr>
              <w:spacing w:after="0"/>
              <w:rPr>
                <w:sz w:val="18"/>
                <w:szCs w:val="18"/>
                <w:color w:val="auto"/>
              </w:rPr>
            </w:pPr>
          </w:p>
        </w:tc>
        <w:tc>
          <w:tcPr>
            <w:tcW w:w="35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r>
      <w:tr>
        <w:trPr>
          <w:trHeight w:val="216"/>
        </w:trPr>
        <w:tc>
          <w:tcPr>
            <w:tcW w:w="7720" w:type="dxa"/>
            <w:vAlign w:val="bottom"/>
          </w:tcPr>
          <w:p>
            <w:pPr>
              <w:spacing w:after="0"/>
              <w:rPr>
                <w:sz w:val="18"/>
                <w:szCs w:val="18"/>
                <w:color w:val="auto"/>
              </w:rPr>
            </w:pPr>
          </w:p>
        </w:tc>
        <w:tc>
          <w:tcPr>
            <w:tcW w:w="212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720" w:type="dxa"/>
            <w:vAlign w:val="bottom"/>
          </w:tcPr>
          <w:p>
            <w:pPr>
              <w:spacing w:after="0"/>
              <w:rPr>
                <w:sz w:val="18"/>
                <w:szCs w:val="18"/>
                <w:color w:val="auto"/>
              </w:rPr>
            </w:pPr>
          </w:p>
        </w:tc>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38"/>
        </w:trPr>
        <w:tc>
          <w:tcPr>
            <w:tcW w:w="7720" w:type="dxa"/>
            <w:vAlign w:val="bottom"/>
          </w:tcPr>
          <w:p>
            <w:pPr>
              <w:spacing w:after="0"/>
              <w:rPr>
                <w:sz w:val="20"/>
                <w:szCs w:val="20"/>
                <w:color w:val="auto"/>
              </w:rPr>
            </w:pPr>
          </w:p>
        </w:tc>
        <w:tc>
          <w:tcPr>
            <w:tcW w:w="212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4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6"/>
        </w:trPr>
        <w:tc>
          <w:tcPr>
            <w:tcW w:w="77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profit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33,878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46,977</w:t>
            </w:r>
          </w:p>
        </w:tc>
        <w:tc>
          <w:tcPr>
            <w:tcW w:w="180" w:type="dxa"/>
            <w:vAlign w:val="bottom"/>
          </w:tcPr>
          <w:p>
            <w:pPr>
              <w:spacing w:after="0"/>
              <w:rPr>
                <w:sz w:val="18"/>
                <w:szCs w:val="18"/>
                <w:color w:val="auto"/>
              </w:rPr>
            </w:pP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13,189</w:t>
            </w:r>
          </w:p>
        </w:tc>
        <w:tc>
          <w:tcPr>
            <w:tcW w:w="18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w:t>
            </w:r>
          </w:p>
        </w:tc>
        <w:tc>
          <w:tcPr>
            <w:tcW w:w="44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7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Finance income</w:t>
            </w:r>
          </w:p>
        </w:tc>
        <w:tc>
          <w:tcPr>
            <w:tcW w:w="1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(3,593)</w:t>
            </w:r>
          </w:p>
        </w:tc>
        <w:tc>
          <w:tcPr>
            <w:tcW w:w="44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Finance cost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80" w:type="dxa"/>
            <w:vAlign w:val="bottom"/>
          </w:tcPr>
          <w:p>
            <w:pPr>
              <w:spacing w:after="0"/>
              <w:rPr>
                <w:sz w:val="18"/>
                <w:szCs w:val="18"/>
                <w:color w:val="auto"/>
              </w:rPr>
            </w:pPr>
          </w:p>
        </w:tc>
      </w:tr>
      <w:tr>
        <w:trPr>
          <w:trHeight w:val="210"/>
        </w:trPr>
        <w:tc>
          <w:tcPr>
            <w:tcW w:w="77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34,857</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59,865</w:t>
            </w:r>
          </w:p>
        </w:tc>
        <w:tc>
          <w:tcPr>
            <w:tcW w:w="18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8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7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EBITDA (Non-IFRS)</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41,223</w:t>
            </w:r>
          </w:p>
        </w:tc>
        <w:tc>
          <w:tcPr>
            <w:tcW w:w="18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64,072</w:t>
            </w:r>
          </w:p>
        </w:tc>
        <w:tc>
          <w:tcPr>
            <w:tcW w:w="180" w:type="dxa"/>
            <w:vAlign w:val="bottom"/>
            <w:tcBorders>
              <w:bottom w:val="single" w:sz="8" w:color="CFF0FC"/>
            </w:tcBorders>
            <w:shd w:val="clear" w:color="auto" w:fill="CFF0FC"/>
          </w:tcPr>
          <w:p>
            <w:pPr>
              <w:spacing w:after="0"/>
              <w:rPr>
                <w:sz w:val="22"/>
                <w:szCs w:val="22"/>
                <w:color w:val="auto"/>
              </w:rPr>
            </w:pPr>
          </w:p>
        </w:tc>
      </w:tr>
      <w:tr>
        <w:trPr>
          <w:trHeight w:val="219"/>
        </w:trPr>
        <w:tc>
          <w:tcPr>
            <w:tcW w:w="7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margin (Non-IFRS)</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w:t>
            </w:r>
          </w:p>
        </w:tc>
        <w:tc>
          <w:tcPr>
            <w:tcW w:w="44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r>
      <w:tr>
        <w:trPr>
          <w:trHeight w:val="1348"/>
        </w:trPr>
        <w:tc>
          <w:tcPr>
            <w:tcW w:w="77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-1328420</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-1328420</wp:posOffset>
            </wp:positionV>
            <wp:extent cx="1117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-1045210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-1028065</wp:posOffset>
            </wp:positionV>
            <wp:extent cx="111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-1045210</wp:posOffset>
            </wp:positionV>
            <wp:extent cx="1117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-1028065</wp:posOffset>
            </wp:positionV>
            <wp:extent cx="1117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0"/>
          <w:szCs w:val="20"/>
          <w:color w:val="auto"/>
        </w:rPr>
        <w:t>Explanation of non-IFRS financial measures:</w:t>
      </w:r>
    </w:p>
    <w:p>
      <w:pPr>
        <w:spacing w:after="0" w:line="337" w:lineRule="exact"/>
        <w:rPr>
          <w:sz w:val="20"/>
          <w:szCs w:val="20"/>
          <w:color w:val="auto"/>
        </w:rPr>
      </w:pPr>
    </w:p>
    <w:p>
      <w:pPr>
        <w:jc w:val="both"/>
        <w:ind w:left="1020" w:hanging="503"/>
        <w:spacing w:after="0" w:line="249" w:lineRule="auto"/>
        <w:tabs>
          <w:tab w:leader="none" w:pos="10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Free Cash Flow is defined as net cash flows from operating activities less capital expenditures, including acquisition of property, plant and equipment and acquisition of intangible assets, plus proceeds from sale of property, plant and equipment. This measure assesses the Company's capital efficiency by deducting the cash required to purchase, replace and upgrade the machineries, equipment and systems required to keep the production lines running.</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Adjusted Free Cash Flow Reconciliation (Non-IFRS)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tcPr>
          <w:p>
            <w:pPr>
              <w:spacing w:after="0"/>
              <w:rPr>
                <w:sz w:val="17"/>
                <w:szCs w:val="17"/>
                <w:color w:val="auto"/>
              </w:rPr>
            </w:pPr>
          </w:p>
        </w:tc>
        <w:tc>
          <w:tcPr>
            <w:tcW w:w="342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r>
      <w:tr>
        <w:trPr>
          <w:trHeight w:val="216"/>
        </w:trPr>
        <w:tc>
          <w:tcPr>
            <w:tcW w:w="7820" w:type="dxa"/>
            <w:vAlign w:val="bottom"/>
          </w:tcPr>
          <w:p>
            <w:pPr>
              <w:spacing w:after="0"/>
              <w:rPr>
                <w:sz w:val="18"/>
                <w:szCs w:val="18"/>
                <w:color w:val="auto"/>
              </w:rPr>
            </w:pPr>
          </w:p>
        </w:tc>
        <w:tc>
          <w:tcPr>
            <w:tcW w:w="2100" w:type="dxa"/>
            <w:vAlign w:val="bottom"/>
            <w:gridSpan w:val="3"/>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15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38"/>
        </w:trPr>
        <w:tc>
          <w:tcPr>
            <w:tcW w:w="7820" w:type="dxa"/>
            <w:vAlign w:val="bottom"/>
          </w:tcPr>
          <w:p>
            <w:pPr>
              <w:spacing w:after="0"/>
              <w:rPr>
                <w:sz w:val="20"/>
                <w:szCs w:val="20"/>
                <w:color w:val="auto"/>
              </w:rPr>
            </w:pPr>
          </w:p>
        </w:tc>
        <w:tc>
          <w:tcPr>
            <w:tcW w:w="210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3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US$'000</w:t>
            </w:r>
          </w:p>
        </w:tc>
      </w:tr>
      <w:tr>
        <w:trPr>
          <w:trHeight w:val="216"/>
        </w:trPr>
        <w:tc>
          <w:tcPr>
            <w:tcW w:w="78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54,118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40,502</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Less: Capital expenditure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Acquisition of property, plant and equipment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(1,114)</w:t>
            </w:r>
          </w:p>
        </w:tc>
        <w:tc>
          <w:tcPr>
            <w:tcW w:w="4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(2,863)</w:t>
            </w:r>
          </w:p>
        </w:tc>
      </w:tr>
      <w:tr>
        <w:trPr>
          <w:trHeight w:val="216"/>
        </w:trPr>
        <w:tc>
          <w:tcPr>
            <w:tcW w:w="7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Proceeds from sale of property, plant and equipment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 Acquisition of intangible asset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(523)</w:t>
            </w:r>
          </w:p>
        </w:tc>
        <w:tc>
          <w:tcPr>
            <w:tcW w:w="4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(Non-IFRS)</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52,483</w:t>
            </w:r>
          </w:p>
        </w:tc>
        <w:tc>
          <w:tcPr>
            <w:tcW w:w="12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37,639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 and media inquiries, please contact: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OMS Energy Technologies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563C1"/>
        </w:rPr>
        <w:t>ir@omsos.com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Piacente Financial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Brandi Piacente</w:t>
      </w:r>
    </w:p>
    <w:p>
      <w:pPr>
        <w:spacing w:after="0"/>
        <w:rPr>
          <w:sz w:val="20"/>
          <w:szCs w:val="20"/>
          <w:color w:val="auto"/>
        </w:rPr>
      </w:pPr>
      <w:r>
        <w:rPr>
          <w:rFonts w:ascii="Times New Roman" w:cs="Times New Roman" w:eastAsia="Times New Roman" w:hAnsi="Times New Roman"/>
          <w:sz w:val="20"/>
          <w:szCs w:val="20"/>
          <w:color w:val="auto"/>
        </w:rPr>
        <w:t>Tel: +1-212-481-2050</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563C1"/>
        </w:rPr>
        <w:t>oms@thepiacentegroup.com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2)"/>
      <w:numFmt w:val="lowerRoman"/>
      <w:start w:val="3"/>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2026-06-25T17:36:43Z</dcterms:created>
  <dcterms:modified xsi:type="dcterms:W3CDTF">2026-06-25T17:36:43Z</dcterms:modified>
</cp:coreProperties>
</file>