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001-42638</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OMS Energy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10 Gul Circle</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Singapore 629566</w:t>
      </w:r>
    </w:p>
    <w:p>
      <w:pPr>
        <w:spacing w:after="0" w:line="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1059180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24, 2025, OMS Energy Technologies Inc. (the “Company”) issued a press release dated July 24, 2025, announcing its financial results for the full year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report on Form 6-K.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12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FF"/>
              </w:rPr>
              <w:t>Press Release dated July 24, 2025 titled: OMS Energy Technologies Inc. Announces Fiscal Year 2025 Financial Results</w:t>
            </w:r>
          </w:p>
        </w:tc>
      </w:tr>
      <w:tr>
        <w:trPr>
          <w:trHeight w:val="3092"/>
        </w:trPr>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40" w:type="dxa"/>
            <w:vAlign w:val="bottom"/>
            <w:tcBorders>
              <w:top w:val="single" w:sz="8" w:color="0000FF"/>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37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227" w:lineRule="exact"/>
        <w:rPr>
          <w:sz w:val="20"/>
          <w:szCs w:val="20"/>
          <w:color w:val="auto"/>
        </w:rPr>
      </w:pPr>
    </w:p>
    <w:p>
      <w:pPr>
        <w:spacing w:after="0"/>
        <w:tabs>
          <w:tab w:leader="none" w:pos="5300" w:val="left"/>
          <w:tab w:leader="none" w:pos="5800" w:val="left"/>
        </w:tabs>
        <w:rPr>
          <w:sz w:val="20"/>
          <w:szCs w:val="20"/>
          <w:color w:val="auto"/>
        </w:rPr>
      </w:pPr>
      <w:r>
        <w:rPr>
          <w:rFonts w:ascii="Times New Roman" w:cs="Times New Roman" w:eastAsia="Times New Roman" w:hAnsi="Times New Roman"/>
          <w:sz w:val="18"/>
          <w:szCs w:val="18"/>
          <w:color w:val="auto"/>
        </w:rPr>
        <w:t>Date: July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How Meng 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18415</wp:posOffset>
            </wp:positionV>
            <wp:extent cx="34461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How Meng Hock</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Chairman, 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OMS Energy Technologies Inc. Announces Fiscal Year 2025 Financial Results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SINGAPORE, July 24, 2025 - OMS Energy Technologies Inc. (“OMS” or the “Company”) (NASDAQ: OMSE), a growth-oriented manufacturer of surface wellhead systems (“SWS”) and oil country tubular goods (“OCTG”) for the oil and gas industry, today announced its financial results for the fiscal year ended March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2025 Financial Highlights</w:t>
      </w:r>
    </w:p>
    <w:p>
      <w:pPr>
        <w:spacing w:after="0" w:line="229" w:lineRule="exact"/>
        <w:rPr>
          <w:sz w:val="20"/>
          <w:szCs w:val="20"/>
          <w:color w:val="auto"/>
        </w:rPr>
      </w:pPr>
    </w:p>
    <w:p>
      <w:pPr>
        <w:ind w:left="480" w:hanging="472"/>
        <w:spacing w:after="0" w:line="253" w:lineRule="auto"/>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Total revenues </w:t>
      </w:r>
      <w:r>
        <w:rPr>
          <w:rFonts w:ascii="Times New Roman" w:cs="Times New Roman" w:eastAsia="Times New Roman" w:hAnsi="Times New Roman"/>
          <w:sz w:val="20"/>
          <w:szCs w:val="20"/>
          <w:color w:val="auto"/>
        </w:rPr>
        <w:t>in 2025 were $203.6 million, compared with $18.2 million for the period from April 1, 2023, through June 15, 2023,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$163.3 million for the period from June 16, 2023, through March 31, 2024.</w:t>
      </w:r>
    </w:p>
    <w:p>
      <w:pPr>
        <w:ind w:left="480" w:right="20" w:hanging="472"/>
        <w:spacing w:after="0" w:line="239" w:lineRule="auto"/>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margin </w:t>
      </w:r>
      <w:r>
        <w:rPr>
          <w:rFonts w:ascii="Times New Roman" w:cs="Times New Roman" w:eastAsia="Times New Roman" w:hAnsi="Times New Roman"/>
          <w:sz w:val="20"/>
          <w:szCs w:val="20"/>
          <w:color w:val="auto"/>
        </w:rPr>
        <w:t>in 2025 was 33.9%, compared with 27.6% for the period from April 1, 2023, through June 15, 2023, and 29.9%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from June 16, 2023, through March 31, 2024.</w:t>
      </w:r>
    </w:p>
    <w:p>
      <w:pPr>
        <w:ind w:left="480" w:right="20" w:hanging="472"/>
        <w:spacing w:after="0" w:line="246" w:lineRule="auto"/>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profit </w:t>
      </w:r>
      <w:r>
        <w:rPr>
          <w:rFonts w:ascii="Times New Roman" w:cs="Times New Roman" w:eastAsia="Times New Roman" w:hAnsi="Times New Roman"/>
          <w:sz w:val="20"/>
          <w:szCs w:val="20"/>
          <w:color w:val="auto"/>
        </w:rPr>
        <w:t>in 2025 was $59.9 million, compared with $3.2 million for the period from April 1, 2023, through June 15, 2023,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$40.2 million for the period from June 16, 2023, through March 31, 2024.</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Mr. How Meng Hock, Chairman and Chief Executive Officer of OMS, commented, “We are extremely proud to report strong results for fiscal year 2025 in our first earnings announcement as a publicly listed company. Our double-digit revenue growth, expanded gross margin, and increase in operating profit are a direct result of our team’s disciplined execution and commitment to delivering value across all areas of our business. We have also recorded several new customer wins and contract renewals since our IPO in May, further broadening and diversifying our revenue base. With our focus on long-term growth, we’re entering fiscal 2026 with strong momentum and a clear strategy for continued innovation and expansion.”</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Mr. Kevin Yeo, Chief Financial Officer, added, “Our fiscal 2025 financial performance reflects both top-line strength and meaningful margin improvement. Total revenues grew to $203.6 million, with gross margin reaching 33.9%. Operating profit increased to $59.9 million, highlighting our enhanced cost discipline and the benefits of growing economies of scale. Our net profit for the year was $47.0 million. When excluding a one-time $49.4 million bargain purchase gain recognized in fiscal 2024 related to the Management Buyout, our underlying profitability in 2025 demonstrates strong growth momentum. Supported by these solid fundamentals, a healthy balance sheet and loyal customer base, we remain confident of driving sustainable growth and building long-term shareholder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2025 Financial Results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Total revenues. </w:t>
      </w:r>
      <w:r>
        <w:rPr>
          <w:rFonts w:ascii="Times New Roman" w:cs="Times New Roman" w:eastAsia="Times New Roman" w:hAnsi="Times New Roman"/>
          <w:sz w:val="20"/>
          <w:szCs w:val="20"/>
          <w:color w:val="auto"/>
        </w:rPr>
        <w:t>Total revenues in 2025 were $203.6 million, compared with $18.2 million for the period from April 1, 2023, through June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15, 2023, and $163.3 million for the period from June 16, 2023, through March 31, 2024.</w:t>
      </w:r>
    </w:p>
    <w:p>
      <w:pPr>
        <w:spacing w:after="0" w:line="165" w:lineRule="exact"/>
        <w:rPr>
          <w:sz w:val="20"/>
          <w:szCs w:val="20"/>
          <w:color w:val="auto"/>
        </w:rPr>
      </w:pPr>
    </w:p>
    <w:p>
      <w:pPr>
        <w:jc w:val="both"/>
        <w:ind w:left="480" w:hanging="472"/>
        <w:spacing w:after="0" w:line="250" w:lineRule="auto"/>
        <w:tabs>
          <w:tab w:leader="none" w:pos="4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Specialty connectors and pipes. </w:t>
      </w:r>
      <w:r>
        <w:rPr>
          <w:rFonts w:ascii="Times New Roman" w:cs="Times New Roman" w:eastAsia="Times New Roman" w:hAnsi="Times New Roman"/>
          <w:sz w:val="20"/>
          <w:szCs w:val="20"/>
          <w:color w:val="auto"/>
        </w:rPr>
        <w:t>Revenues from sales of specialty connectors and pipes in 2025 were $143.1 million, compared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$5.1 million for the period from April 1, 2023, through June 15, 2023, and $113.5 million for the period from June 16, 2023, through March 31, 2024. This increase was primarily due to a significant increase in demand from one of the Company’s major customers who had higher levels of business activities related to oil and gas production.</w:t>
      </w:r>
    </w:p>
    <w:p>
      <w:pPr>
        <w:spacing w:after="0" w:line="189" w:lineRule="exact"/>
        <w:rPr>
          <w:rFonts w:ascii="Times New Roman" w:cs="Times New Roman" w:eastAsia="Times New Roman" w:hAnsi="Times New Roman"/>
          <w:sz w:val="20"/>
          <w:szCs w:val="20"/>
          <w:color w:val="auto"/>
        </w:rPr>
      </w:pPr>
    </w:p>
    <w:p>
      <w:pPr>
        <w:jc w:val="both"/>
        <w:ind w:left="480" w:hanging="472"/>
        <w:spacing w:after="0" w:line="247" w:lineRule="auto"/>
        <w:tabs>
          <w:tab w:leader="none" w:pos="4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Surface wellhead and Christmas tree equipment. </w:t>
      </w:r>
      <w:r>
        <w:rPr>
          <w:rFonts w:ascii="Times New Roman" w:cs="Times New Roman" w:eastAsia="Times New Roman" w:hAnsi="Times New Roman"/>
          <w:sz w:val="20"/>
          <w:szCs w:val="20"/>
          <w:color w:val="auto"/>
        </w:rPr>
        <w:t>Revenues from sales of surface wellhead and Christmas tree equipment in 2025 were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$8.7 million, compared with $3.0 million for the period from April 1, 2023, through June 15, 2023, and $6.8 million for the period from June 16, 2023, through March 31, 2024. This decrease was primarily due to delayed demand from one of the Company’s major customers in Indonesia, who is rationalizing their requirements as they plan for increased production to meet Indonesia’s energy security plan, as well as a delayed shipment to the Middle East which will materialize in the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jc w:val="both"/>
        <w:ind w:left="480" w:hanging="472"/>
        <w:spacing w:after="0" w:line="250"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Premium threading services. </w:t>
      </w:r>
      <w:r>
        <w:rPr>
          <w:rFonts w:ascii="Times New Roman" w:cs="Times New Roman" w:eastAsia="Times New Roman" w:hAnsi="Times New Roman"/>
          <w:sz w:val="20"/>
          <w:szCs w:val="20"/>
          <w:color w:val="auto"/>
        </w:rPr>
        <w:t>Revenues from rendering of premium threading services in 2025 were $36.8 million, compared with $7.6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for the period from April 1, 2023, through June 15, 2023, and $31.1 million for the period from June 16, 2023, through March 31, 2024. This slight decrease was primarily attributable to a relatively stable level of rig activities across oil and gas customers in the countries that drive demand for the Company’s premium threading services.</w:t>
      </w:r>
    </w:p>
    <w:p>
      <w:pPr>
        <w:spacing w:after="0" w:line="189" w:lineRule="exact"/>
        <w:rPr>
          <w:rFonts w:ascii="Times New Roman" w:cs="Times New Roman" w:eastAsia="Times New Roman" w:hAnsi="Times New Roman"/>
          <w:sz w:val="20"/>
          <w:szCs w:val="20"/>
          <w:color w:val="auto"/>
        </w:rPr>
      </w:pPr>
    </w:p>
    <w:p>
      <w:pPr>
        <w:jc w:val="both"/>
        <w:ind w:left="480" w:hanging="472"/>
        <w:spacing w:after="0" w:line="256"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ancillary services. </w:t>
      </w:r>
      <w:r>
        <w:rPr>
          <w:rFonts w:ascii="Times New Roman" w:cs="Times New Roman" w:eastAsia="Times New Roman" w:hAnsi="Times New Roman"/>
          <w:sz w:val="20"/>
          <w:szCs w:val="20"/>
          <w:color w:val="auto"/>
        </w:rPr>
        <w:t>Revenues generated from other ancillary services in 2025 were $15.0 million, compared with $2.4 million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period from April 1, 2023, through June 15, 2023, and $11.9 million for the period from June 16, 2023, through March 31, 2024. This increase was primarily due to greater customer demand for engineering testing, inspection and maintenance services.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Cost of revenues. </w:t>
      </w:r>
      <w:r>
        <w:rPr>
          <w:rFonts w:ascii="Times New Roman" w:cs="Times New Roman" w:eastAsia="Times New Roman" w:hAnsi="Times New Roman"/>
          <w:sz w:val="20"/>
          <w:szCs w:val="20"/>
          <w:color w:val="auto"/>
        </w:rPr>
        <w:t>Cost of revenues in 2025 was $134.6 million, compared with $13.2 million for the period from April 1, 2023,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June 15, 2023, and $114.5 million for the period from June 16, 2023, through March 31, 2024.</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Gross profit. </w:t>
      </w:r>
      <w:r>
        <w:rPr>
          <w:rFonts w:ascii="Times New Roman" w:cs="Times New Roman" w:eastAsia="Times New Roman" w:hAnsi="Times New Roman"/>
          <w:sz w:val="20"/>
          <w:szCs w:val="20"/>
          <w:color w:val="auto"/>
        </w:rPr>
        <w:t>Gross profit in 2025 was $69.0 million, compared with $5.0 million for the period from April 1, 2023, through June 15, 2023,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$48.7 million for the period from June 16, 2023, through March 31, 2024. Gross margin in 2025 was 33.9%, compared with 27.6% for the period from April 1, 2023, through June 15, 2023, and 29.9% for the period from June 16, 2023, through March 31, 2024. The increase was mainly due to the growth in total revenues, as well as the benefits from economies of scale stemming from higher sales volume, sourcing productivity and an increase in the proportion of higher-margin services performed.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Selling, general and administrative expenses. </w:t>
      </w:r>
      <w:r>
        <w:rPr>
          <w:rFonts w:ascii="Times New Roman" w:cs="Times New Roman" w:eastAsia="Times New Roman" w:hAnsi="Times New Roman"/>
          <w:sz w:val="20"/>
          <w:szCs w:val="20"/>
          <w:color w:val="auto"/>
        </w:rPr>
        <w:t>Selling, general and administrative expenses in 2025 were $9.1 million, compared with $1.8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for the period from April 1, 2023, through June 15, 2023, and $8.6 million for the period from June 16, 2023, through March 31, 2024. The decrease was mainly due to a decrease in legal and professional fees, staff expenses and depreciation.</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Operating profit. </w:t>
      </w:r>
      <w:r>
        <w:rPr>
          <w:rFonts w:ascii="Times New Roman" w:cs="Times New Roman" w:eastAsia="Times New Roman" w:hAnsi="Times New Roman"/>
          <w:sz w:val="20"/>
          <w:szCs w:val="20"/>
          <w:color w:val="auto"/>
        </w:rPr>
        <w:t>Operating profit in 2025 was $59.9 million, compared with $3.2 million for the period from April 1, 2023, through June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15, 2023, and $40.2 million for the period from June 16, 2023, through March 31, 2024.</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Total other income/(expense), net. </w:t>
      </w:r>
      <w:r>
        <w:rPr>
          <w:rFonts w:ascii="Times New Roman" w:cs="Times New Roman" w:eastAsia="Times New Roman" w:hAnsi="Times New Roman"/>
          <w:sz w:val="20"/>
          <w:szCs w:val="20"/>
          <w:color w:val="auto"/>
        </w:rPr>
        <w:t>Total other income, net in 2025 was $0.2 million, compared with total other expense, net of $0.08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for the period from April 1, 2023, through June 15, 2023, and total other income, net of $50.2 million for the period from June 16, 2023, through March 31, 2024. The change was primarily due to a non-recurring bargain purchase gain of $49.4 million related to the management buyout in the period from June 16, 2023, through March 31, 2024.</w:t>
      </w:r>
    </w:p>
    <w:p>
      <w:pPr>
        <w:spacing w:after="0" w:line="18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Net profit. </w:t>
      </w:r>
      <w:r>
        <w:rPr>
          <w:rFonts w:ascii="Times New Roman" w:cs="Times New Roman" w:eastAsia="Times New Roman" w:hAnsi="Times New Roman"/>
          <w:sz w:val="20"/>
          <w:szCs w:val="20"/>
          <w:color w:val="auto"/>
        </w:rPr>
        <w:t>Net profit in 2025 was $47.0 million, compared with $2.4 million for the period from April 1, 2023, through June 15, 2023,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$82.1 million for the period from June 16, 2023, through March 31, 2024.</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Basic and diluted EPS. </w:t>
      </w:r>
      <w:r>
        <w:rPr>
          <w:rFonts w:ascii="Times New Roman" w:cs="Times New Roman" w:eastAsia="Times New Roman" w:hAnsi="Times New Roman"/>
          <w:sz w:val="20"/>
          <w:szCs w:val="20"/>
          <w:color w:val="auto"/>
        </w:rPr>
        <w:t>Basic and diluted earnings per share were both $1.18 in 2025, compared with $2.19 for the period June 16, 2023,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March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Cash Flow</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March 31, 2025, the Company’s cash and cash equivalents and restricted cash totaled $75.8 million, compared with $45.4 million as of March 31, 2024.</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Net cash provided by operating activities was $40.5 million, compared with net cash used of $2.9 million for the period from April 1, 2023, through June 15, 2023, and net cash provided of $24.0 million for the period from June 16, 2023, through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About OMS Energy Technologies Inc.</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OMS Energy Technologies Inc. (NASDAQ: OMSE) is a growth-oriented manufacturer of surface wellhead systems (SWS) and oil country tubular goods (OCTG) for the oil and gas industry. Serving both onshore and offshore exploration and production operators, OMS is a trusted single-source supplier across six vital jurisdictions in the Asia Pacific, Middle Eastern and North African (MENA) regions. The Company’s 11 strategically located manufacturing facilities in key markets ensure rapid response times, customized technical solutions and seamless adaptation to evolving production and logistics needs. Beyond its core SWS and OCTG offerings, OMS also provides premium threading services to maximize operational efficiency for its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please visit ir.omsos.com.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press release contains statements that may constitute “forward-looking” statements which are made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the Company’s beliefs, plans, and expectations, are forward-looking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 and media inquiries,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OMS Energy Technologies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rPr>
          <w:sz w:val="20"/>
          <w:szCs w:val="20"/>
          <w:color w:val="auto"/>
        </w:rPr>
      </w:pPr>
      <w:r>
        <w:rPr>
          <w:rFonts w:ascii="Times New Roman" w:cs="Times New Roman" w:eastAsia="Times New Roman" w:hAnsi="Times New Roman"/>
          <w:sz w:val="20"/>
          <w:szCs w:val="20"/>
          <w:color w:val="auto"/>
        </w:rPr>
        <w:t>Email: ir@omsos.com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Piacente Financial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Brandi Piacente</w:t>
      </w:r>
    </w:p>
    <w:p>
      <w:pPr>
        <w:spacing w:after="0"/>
        <w:rPr>
          <w:sz w:val="20"/>
          <w:szCs w:val="20"/>
          <w:color w:val="auto"/>
        </w:rPr>
      </w:pPr>
      <w:r>
        <w:rPr>
          <w:rFonts w:ascii="Times New Roman" w:cs="Times New Roman" w:eastAsia="Times New Roman" w:hAnsi="Times New Roman"/>
          <w:sz w:val="20"/>
          <w:szCs w:val="20"/>
          <w:color w:val="auto"/>
        </w:rPr>
        <w:t>Tel: +1-212-481-2050</w:t>
      </w:r>
    </w:p>
    <w:p>
      <w:pPr>
        <w:spacing w:after="0"/>
        <w:rPr>
          <w:sz w:val="20"/>
          <w:szCs w:val="20"/>
          <w:color w:val="auto"/>
        </w:rPr>
      </w:pPr>
      <w:r>
        <w:rPr>
          <w:rFonts w:ascii="Times New Roman" w:cs="Times New Roman" w:eastAsia="Times New Roman" w:hAnsi="Times New Roman"/>
          <w:sz w:val="20"/>
          <w:szCs w:val="20"/>
          <w:color w:val="auto"/>
        </w:rPr>
        <w:t>Email: oms@thepiacentegroup.com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Hui Fan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+86-10-6508-0677</w:t>
      </w:r>
    </w:p>
    <w:p>
      <w:pPr>
        <w:spacing w:after="0"/>
        <w:rPr>
          <w:sz w:val="20"/>
          <w:szCs w:val="20"/>
          <w:color w:val="auto"/>
        </w:rPr>
      </w:pPr>
      <w:r>
        <w:rPr>
          <w:rFonts w:ascii="Times New Roman" w:cs="Times New Roman" w:eastAsia="Times New Roman" w:hAnsi="Times New Roman"/>
          <w:sz w:val="20"/>
          <w:szCs w:val="20"/>
          <w:color w:val="auto"/>
        </w:rPr>
        <w:t>Email: oms@thepiacentegroup.com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Unaudited Summary of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Positions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8"/>
        </w:trPr>
        <w:tc>
          <w:tcPr>
            <w:tcW w:w="6800" w:type="dxa"/>
            <w:vAlign w:val="bottom"/>
          </w:tcPr>
          <w:p>
            <w:pPr>
              <w:spacing w:after="0"/>
              <w:rPr>
                <w:sz w:val="12"/>
                <w:szCs w:val="12"/>
                <w:color w:val="auto"/>
              </w:rPr>
            </w:pPr>
          </w:p>
        </w:tc>
        <w:tc>
          <w:tcPr>
            <w:tcW w:w="2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800" w:type="dxa"/>
            <w:vAlign w:val="bottom"/>
          </w:tcPr>
          <w:p>
            <w:pPr>
              <w:spacing w:after="0"/>
              <w:rPr>
                <w:sz w:val="15"/>
                <w:szCs w:val="15"/>
                <w:color w:val="auto"/>
              </w:rPr>
            </w:pPr>
          </w:p>
        </w:tc>
        <w:tc>
          <w:tcPr>
            <w:tcW w:w="2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42"/>
        </w:trPr>
        <w:tc>
          <w:tcPr>
            <w:tcW w:w="680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current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30,689</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current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 due from a related party</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124,868</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114,082</w:t>
            </w:r>
          </w:p>
        </w:tc>
        <w:tc>
          <w:tcPr>
            <w:tcW w:w="10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non-current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45,637</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153,432</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0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and borrowings</w:t>
            </w:r>
          </w:p>
        </w:tc>
        <w:tc>
          <w:tcPr>
            <w:tcW w:w="2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payable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24,457</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61,449</w:t>
            </w:r>
          </w:p>
        </w:tc>
        <w:tc>
          <w:tcPr>
            <w:tcW w:w="10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benefits obligation</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payables, non-current</w:t>
            </w:r>
          </w:p>
        </w:tc>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11,629</w:t>
            </w:r>
          </w:p>
        </w:tc>
        <w:tc>
          <w:tcPr>
            <w:tcW w:w="10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35,918</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73,078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premium</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67,648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58,634</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(2,397)</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(4,441)</w:t>
            </w: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Company</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260" w:type="dxa"/>
            <w:vAlign w:val="bottom"/>
            <w:tcBorders>
              <w:top w:val="single" w:sz="8" w:color="CFF0FC"/>
            </w:tcBorders>
          </w:tcPr>
          <w:p>
            <w:pPr>
              <w:spacing w:after="0"/>
              <w:rPr>
                <w:sz w:val="18"/>
                <w:szCs w:val="18"/>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77,029</w:t>
            </w:r>
          </w:p>
        </w:tc>
        <w:tc>
          <w:tcPr>
            <w:tcW w:w="100" w:type="dxa"/>
            <w:vAlign w:val="bottom"/>
            <w:tcBorders>
              <w:top w:val="single" w:sz="8" w:color="CFF0FC"/>
            </w:tcBorders>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134,587</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10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153,432</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1"/>
        </w:trPr>
        <w:tc>
          <w:tcPr>
            <w:tcW w:w="68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-6385560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-6385560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-4988560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-4988560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-3856990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-2742565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-2451100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-1336675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Profit or Loss and Other Comprehensive Income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vMerge w:val="restart"/>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1</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shd w:val="clear" w:color="auto" w:fill="000000"/>
          </w:tcPr>
          <w:p>
            <w:pPr>
              <w:spacing w:after="0"/>
              <w:rPr>
                <w:sz w:val="15"/>
                <w:szCs w:val="15"/>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15, 2023</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Revenue – third parties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203,607</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163,267</w:t>
            </w: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 – related parties</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203,607</w:t>
            </w:r>
          </w:p>
        </w:tc>
        <w:tc>
          <w:tcPr>
            <w:tcW w:w="24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163,267</w:t>
            </w:r>
          </w:p>
        </w:tc>
        <w:tc>
          <w:tcPr>
            <w:tcW w:w="2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18,182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(134,620)</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(114,525)</w:t>
            </w: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(13,080)</w:t>
            </w:r>
          </w:p>
        </w:tc>
        <w:tc>
          <w:tcPr>
            <w:tcW w:w="0" w:type="dxa"/>
            <w:vAlign w:val="bottom"/>
          </w:tcPr>
          <w:p>
            <w:pPr>
              <w:spacing w:after="0"/>
              <w:rPr>
                <w:sz w:val="1"/>
                <w:szCs w:val="1"/>
                <w:color w:val="auto"/>
              </w:rPr>
            </w:pPr>
          </w:p>
        </w:tc>
      </w:tr>
      <w:tr>
        <w:trPr>
          <w:trHeight w:val="20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(134,620)</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(114,525)</w:t>
            </w: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(13,155)</w:t>
            </w:r>
          </w:p>
        </w:tc>
        <w:tc>
          <w:tcPr>
            <w:tcW w:w="0" w:type="dxa"/>
            <w:vAlign w:val="bottom"/>
          </w:tcPr>
          <w:p>
            <w:pPr>
              <w:spacing w:after="0"/>
              <w:rPr>
                <w:sz w:val="1"/>
                <w:szCs w:val="1"/>
                <w:color w:val="auto"/>
              </w:rPr>
            </w:pPr>
          </w:p>
        </w:tc>
      </w:tr>
      <w:tr>
        <w:trPr>
          <w:trHeight w:val="196"/>
        </w:trPr>
        <w:tc>
          <w:tcPr>
            <w:tcW w:w="3200" w:type="dxa"/>
            <w:vAlign w:val="bottom"/>
            <w:tcBorders>
              <w:top w:val="single" w:sz="8" w:color="CFF0FC"/>
            </w:tcBorders>
          </w:tcPr>
          <w:p>
            <w:pPr>
              <w:spacing w:after="0"/>
              <w:rPr>
                <w:sz w:val="17"/>
                <w:szCs w:val="17"/>
                <w:color w:val="auto"/>
              </w:rPr>
            </w:pPr>
          </w:p>
        </w:tc>
        <w:tc>
          <w:tcPr>
            <w:tcW w:w="2420" w:type="dxa"/>
            <w:vAlign w:val="bottom"/>
            <w:tcBorders>
              <w:top w:val="single" w:sz="8" w:color="CFF0FC"/>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68,987</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48,742</w:t>
            </w: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(9,122)</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(8,574)</w:t>
            </w: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(1,790)</w:t>
            </w:r>
          </w:p>
        </w:tc>
        <w:tc>
          <w:tcPr>
            <w:tcW w:w="0" w:type="dxa"/>
            <w:vAlign w:val="bottom"/>
          </w:tcPr>
          <w:p>
            <w:pPr>
              <w:spacing w:after="0"/>
              <w:rPr>
                <w:sz w:val="1"/>
                <w:szCs w:val="1"/>
                <w:color w:val="auto"/>
              </w:rPr>
            </w:pPr>
          </w:p>
        </w:tc>
      </w:tr>
      <w:tr>
        <w:trPr>
          <w:trHeight w:val="196"/>
        </w:trPr>
        <w:tc>
          <w:tcPr>
            <w:tcW w:w="56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59,865</w:t>
            </w:r>
          </w:p>
        </w:tc>
        <w:tc>
          <w:tcPr>
            <w:tcW w:w="240" w:type="dxa"/>
            <w:vAlign w:val="bottom"/>
            <w:tcBorders>
              <w:top w:val="single" w:sz="8" w:color="CFF0FC"/>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40,168</w:t>
            </w:r>
          </w:p>
        </w:tc>
        <w:tc>
          <w:tcPr>
            <w:tcW w:w="20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Bargain purchase gain</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49,429</w:t>
            </w: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income/(expenses), net – third parties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income, net – related parties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income/(expenses), net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50,204</w:t>
            </w: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(79)</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income – third parties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income – related parties</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finance income</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24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2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cost – third parties</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(284)</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(915)</w:t>
            </w: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cost – related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finance cost</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(284)</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(915)</w:t>
            </w: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(200)</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60,166</w:t>
            </w:r>
          </w:p>
        </w:tc>
        <w:tc>
          <w:tcPr>
            <w:tcW w:w="24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89,512</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3,032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(13,189)</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(7,424)</w:t>
            </w:r>
          </w:p>
        </w:tc>
        <w:tc>
          <w:tcPr>
            <w:tcW w:w="20" w:type="dxa"/>
            <w:vAlign w:val="bottom"/>
            <w:shd w:val="clear" w:color="auto" w:fill="000000"/>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24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2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income/(loss):</w:t>
            </w: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Items that will not be reclassified to profit or loss</w:t>
            </w: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2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(1,701)</w:t>
            </w: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Changes resulting from actuarial remeasurement of</w:t>
            </w:r>
          </w:p>
        </w:tc>
        <w:tc>
          <w:tcPr>
            <w:tcW w:w="1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000000"/>
          </w:tcPr>
          <w:p>
            <w:pPr>
              <w:spacing w:after="0"/>
              <w:rPr>
                <w:sz w:val="16"/>
                <w:szCs w:val="16"/>
                <w:color w:val="auto"/>
              </w:rPr>
            </w:pPr>
          </w:p>
        </w:tc>
        <w:tc>
          <w:tcPr>
            <w:tcW w:w="1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benefits obligation</w:t>
            </w:r>
          </w:p>
        </w:tc>
        <w:tc>
          <w:tcPr>
            <w:tcW w:w="1940" w:type="dxa"/>
            <w:vAlign w:val="bottom"/>
            <w:gridSpan w:val="2"/>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income/(loss), net of tax</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2,256</w:t>
            </w:r>
          </w:p>
        </w:tc>
        <w:tc>
          <w:tcPr>
            <w:tcW w:w="2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(1,734)</w:t>
            </w:r>
          </w:p>
        </w:tc>
        <w:tc>
          <w:tcPr>
            <w:tcW w:w="20" w:type="dxa"/>
            <w:vAlign w:val="bottom"/>
            <w:shd w:val="clear" w:color="auto" w:fill="000000"/>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(619)</w:t>
            </w:r>
          </w:p>
        </w:tc>
        <w:tc>
          <w:tcPr>
            <w:tcW w:w="0" w:type="dxa"/>
            <w:vAlign w:val="bottom"/>
          </w:tcPr>
          <w:p>
            <w:pPr>
              <w:spacing w:after="0"/>
              <w:rPr>
                <w:sz w:val="1"/>
                <w:szCs w:val="1"/>
                <w:color w:val="auto"/>
              </w:rPr>
            </w:pPr>
          </w:p>
        </w:tc>
      </w:tr>
      <w:tr>
        <w:trPr>
          <w:trHeight w:val="196"/>
        </w:trPr>
        <w:tc>
          <w:tcPr>
            <w:tcW w:w="56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240" w:type="dxa"/>
            <w:vAlign w:val="bottom"/>
            <w:tcBorders>
              <w:top w:val="single" w:sz="8" w:color="CFF0FC"/>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80,354</w:t>
            </w:r>
          </w:p>
        </w:tc>
        <w:tc>
          <w:tcPr>
            <w:tcW w:w="20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 attributable to:</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44,816</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80,880</w:t>
            </w: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24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2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24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46,860</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79,184</w:t>
            </w: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4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24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80,354</w:t>
            </w:r>
          </w:p>
        </w:tc>
        <w:tc>
          <w:tcPr>
            <w:tcW w:w="2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and diluted weighted-average shares outstanding</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37,822,500</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36,900,000</w:t>
            </w: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 (as adjusted) (US$)</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24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32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-6548755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-6548755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-6548755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-6025515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-6025515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-6025515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-3933825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-3933825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-2759710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-2759710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-1962150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-1962150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-1439545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-1439545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-908050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-890905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-908050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-890905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620" w:type="dxa"/>
            <w:vAlign w:val="bottom"/>
          </w:tcPr>
          <w:p>
            <w:pPr>
              <w:spacing w:after="0"/>
              <w:rPr>
                <w:sz w:val="2"/>
                <w:szCs w:val="2"/>
                <w:color w:val="auto"/>
              </w:rPr>
            </w:pPr>
          </w:p>
        </w:tc>
        <w:tc>
          <w:tcPr>
            <w:tcW w:w="1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56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680" w:type="dxa"/>
            <w:vAlign w:val="bottom"/>
            <w:tcBorders>
              <w:top w:val="single" w:sz="8" w:color="auto"/>
            </w:tcBorders>
          </w:tcPr>
          <w:p>
            <w:pPr>
              <w:jc w:val="right"/>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profit</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46,977</w:t>
            </w:r>
          </w:p>
        </w:tc>
        <w:tc>
          <w:tcPr>
            <w:tcW w:w="24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82,088</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13,189</w:t>
            </w:r>
          </w:p>
        </w:tc>
        <w:tc>
          <w:tcPr>
            <w:tcW w:w="24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7,424</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4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Loss/(gain) on disposal of property, plant and equipment</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2"/>
                <w:szCs w:val="12"/>
                <w:color w:val="auto"/>
              </w:rPr>
            </w:pP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for/(reversal of) inventories obsolescence</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4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for/(reversal of) expected credit losses</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2"/>
                <w:szCs w:val="12"/>
                <w:color w:val="auto"/>
              </w:rPr>
            </w:pP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1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Loss/(gain) on unrealized foreign exchange</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24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1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(49,429)</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620" w:type="dxa"/>
            <w:vAlign w:val="bottom"/>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receivables</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18,975</w:t>
            </w:r>
          </w:p>
        </w:tc>
        <w:tc>
          <w:tcPr>
            <w:tcW w:w="24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(17,961)</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240" w:type="dxa"/>
            <w:vAlign w:val="bottom"/>
          </w:tcPr>
          <w:p>
            <w:pPr>
              <w:spacing w:after="0"/>
              <w:rPr>
                <w:sz w:val="12"/>
                <w:szCs w:val="12"/>
                <w:color w:val="auto"/>
              </w:rPr>
            </w:pP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20" w:type="dxa"/>
            <w:vAlign w:val="bottom"/>
            <w:shd w:val="clear" w:color="auto" w:fill="000000"/>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(20,817)</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 and other assets</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24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receivables due from related parties</w:t>
            </w:r>
          </w:p>
        </w:tc>
        <w:tc>
          <w:tcPr>
            <w:tcW w:w="1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(32,239)</w:t>
            </w: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148"/>
        </w:trPr>
        <w:tc>
          <w:tcPr>
            <w:tcW w:w="56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Employee benefits obligation</w:t>
            </w: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4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51,653</w:t>
            </w:r>
          </w:p>
        </w:tc>
        <w:tc>
          <w:tcPr>
            <w:tcW w:w="24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30,969</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provided by operations:</w:t>
            </w:r>
          </w:p>
        </w:tc>
        <w:tc>
          <w:tcPr>
            <w:tcW w:w="1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24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1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(11,490)</w:t>
            </w: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(6,979)</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40,502</w:t>
            </w:r>
          </w:p>
        </w:tc>
        <w:tc>
          <w:tcPr>
            <w:tcW w:w="24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24,045</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(2,890)</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1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payment for management buyout</w:t>
            </w:r>
          </w:p>
        </w:tc>
        <w:tc>
          <w:tcPr>
            <w:tcW w:w="1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1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(3,238)</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 asset</w:t>
            </w:r>
          </w:p>
        </w:tc>
        <w:tc>
          <w:tcPr>
            <w:tcW w:w="1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Repayment from/(loan to) related parties</w:t>
            </w:r>
          </w:p>
        </w:tc>
        <w:tc>
          <w:tcPr>
            <w:tcW w:w="1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 due from a related party</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19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(2,862)</w:t>
            </w:r>
          </w:p>
        </w:tc>
        <w:tc>
          <w:tcPr>
            <w:tcW w:w="18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(6,136)</w:t>
            </w: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Advances from potential investors</w:t>
            </w:r>
          </w:p>
        </w:tc>
        <w:tc>
          <w:tcPr>
            <w:tcW w:w="1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loans and borrowings</w:t>
            </w:r>
          </w:p>
        </w:tc>
        <w:tc>
          <w:tcPr>
            <w:tcW w:w="1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loans from related parties</w:t>
            </w:r>
          </w:p>
        </w:tc>
        <w:tc>
          <w:tcPr>
            <w:tcW w:w="1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loans from related parties</w:t>
            </w:r>
          </w:p>
        </w:tc>
        <w:tc>
          <w:tcPr>
            <w:tcW w:w="1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(28,038)</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Repayment of loans and borrowings</w:t>
            </w:r>
          </w:p>
        </w:tc>
        <w:tc>
          <w:tcPr>
            <w:tcW w:w="1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(6,504)</w:t>
            </w: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(3,874)</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 of lease liabilities</w:t>
            </w:r>
          </w:p>
        </w:tc>
        <w:tc>
          <w:tcPr>
            <w:tcW w:w="1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financing activities</w:t>
            </w:r>
          </w:p>
        </w:tc>
        <w:tc>
          <w:tcPr>
            <w:tcW w:w="19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(8,059)</w:t>
            </w: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(18,716)</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 of foreign exchange on cash, cash equivalents and restricted cash</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24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(2,473)</w:t>
            </w:r>
          </w:p>
        </w:tc>
        <w:tc>
          <w:tcPr>
            <w:tcW w:w="20" w:type="dxa"/>
            <w:vAlign w:val="bottom"/>
            <w:shd w:val="clear" w:color="auto" w:fill="000000"/>
          </w:tcPr>
          <w:p>
            <w:pPr>
              <w:spacing w:after="0"/>
              <w:rPr>
                <w:sz w:val="12"/>
                <w:szCs w:val="12"/>
                <w:color w:val="auto"/>
              </w:rPr>
            </w:pPr>
          </w:p>
        </w:tc>
        <w:tc>
          <w:tcPr>
            <w:tcW w:w="1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increase/(decrease) in cash, cash equivalents and restricted cash</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30,401</w:t>
            </w:r>
          </w:p>
        </w:tc>
        <w:tc>
          <w:tcPr>
            <w:tcW w:w="24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15,527</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7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(1,900)</w:t>
            </w:r>
          </w:p>
        </w:tc>
        <w:tc>
          <w:tcPr>
            <w:tcW w:w="0" w:type="dxa"/>
            <w:vAlign w:val="bottom"/>
          </w:tcPr>
          <w:p>
            <w:pPr>
              <w:spacing w:after="0"/>
              <w:rPr>
                <w:sz w:val="1"/>
                <w:szCs w:val="1"/>
                <w:color w:val="auto"/>
              </w:rPr>
            </w:pPr>
          </w:p>
        </w:tc>
      </w:tr>
      <w:tr>
        <w:trPr>
          <w:trHeight w:val="149"/>
        </w:trPr>
        <w:tc>
          <w:tcPr>
            <w:tcW w:w="5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year/period</w:t>
            </w: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45,430</w:t>
            </w:r>
          </w:p>
        </w:tc>
        <w:tc>
          <w:tcPr>
            <w:tcW w:w="24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29,903</w:t>
            </w:r>
          </w:p>
        </w:tc>
        <w:tc>
          <w:tcPr>
            <w:tcW w:w="22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year/period</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75,831</w:t>
            </w:r>
          </w:p>
        </w:tc>
        <w:tc>
          <w:tcPr>
            <w:tcW w:w="24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45,430</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non-current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current</w:t>
            </w:r>
          </w:p>
        </w:tc>
        <w:tc>
          <w:tcPr>
            <w:tcW w:w="1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w:t>
            </w:r>
          </w:p>
        </w:tc>
        <w:tc>
          <w:tcPr>
            <w:tcW w:w="240" w:type="dxa"/>
            <w:vAlign w:val="bottom"/>
          </w:tcPr>
          <w:p>
            <w:pPr>
              <w:spacing w:after="0"/>
              <w:rPr>
                <w:sz w:val="12"/>
                <w:szCs w:val="12"/>
                <w:color w:val="auto"/>
              </w:rPr>
            </w:pPr>
          </w:p>
        </w:tc>
        <w:tc>
          <w:tcPr>
            <w:tcW w:w="1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2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year/period</w:t>
            </w:r>
          </w:p>
        </w:tc>
        <w:tc>
          <w:tcPr>
            <w:tcW w:w="1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72,950</w:t>
            </w:r>
          </w:p>
        </w:tc>
        <w:tc>
          <w:tcPr>
            <w:tcW w:w="240" w:type="dxa"/>
            <w:vAlign w:val="bottom"/>
            <w:tcBorders>
              <w:bottom w:val="single" w:sz="8" w:color="CFF0FC"/>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43,470</w:t>
            </w: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1"/>
        </w:trPr>
        <w:tc>
          <w:tcPr>
            <w:tcW w:w="56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-3796665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-3796665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-3411220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-3411220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-1696720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-1696720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-1499235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-1499235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-1302385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-1302385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-908050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-890905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-908050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-890905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sectPr>
      <w:pgSz w:w="11900" w:h="16838" w:orient="portrait"/>
      <w:cols w:equalWidth="0" w:num="1">
        <w:col w:w="11240"/>
      </w:cols>
      <w:pgMar w:left="320" w:top="11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2025-07-24T05:19:52Z</dcterms:created>
  <dcterms:modified xsi:type="dcterms:W3CDTF">2025-07-24T05:19:52Z</dcterms:modified>
</cp:coreProperties>
</file>