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month of November 2025</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001-42638</w:t>
      </w:r>
    </w:p>
    <w:p>
      <w:pPr>
        <w:spacing w:after="0" w:line="2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OMS Energy Technologies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10 Gul Circle</w:t>
      </w:r>
    </w:p>
    <w:p>
      <w:pPr>
        <w:spacing w:after="0" w:line="3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Singapore 629566</w:t>
      </w:r>
    </w:p>
    <w:p>
      <w:pPr>
        <w:spacing w:after="0" w:line="9"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3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1059180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CONTAINED IN THIS FORM 6-K REPORT</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November 21, 2025, OMS Energy Technologies Inc. (the “Company”) issued its interim report for the six-month period ended September 30, 2025, which is furnished as Exhibit 99.1 to this Report on Form 6-K.</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6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12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99.1</w:t>
            </w:r>
          </w:p>
        </w:tc>
        <w:tc>
          <w:tcPr>
            <w:tcW w:w="10120" w:type="dxa"/>
            <w:vAlign w:val="bottom"/>
            <w:gridSpan w:val="3"/>
          </w:tcPr>
          <w:p>
            <w:pPr>
              <w:ind w:left="260"/>
              <w:spacing w:after="0" w:line="194" w:lineRule="exact"/>
              <w:rPr>
                <w:sz w:val="20"/>
                <w:szCs w:val="20"/>
                <w:color w:val="auto"/>
              </w:rPr>
            </w:pPr>
            <w:r>
              <w:rPr>
                <w:rFonts w:ascii="Times New Roman" w:cs="Times New Roman" w:eastAsia="Times New Roman" w:hAnsi="Times New Roman"/>
                <w:sz w:val="18"/>
                <w:szCs w:val="18"/>
                <w:color w:val="0000FF"/>
              </w:rPr>
              <w:t>Interim Report of OMS Energy Technologies Inc. for the six months ended September 30, 2025 (unaudited)</w:t>
            </w:r>
          </w:p>
        </w:tc>
      </w:tr>
      <w:tr>
        <w:trPr>
          <w:trHeight w:val="2012"/>
        </w:trPr>
        <w:tc>
          <w:tcPr>
            <w:tcW w:w="1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780" w:type="dxa"/>
            <w:vAlign w:val="bottom"/>
            <w:tcBorders>
              <w:top w:val="single" w:sz="8" w:color="0000FF"/>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and Exchange Act of 1934, the registrant has duly caused this report to be signed on its behalf by the undersigned, thereunto duly authorized.</w:t>
      </w:r>
    </w:p>
    <w:p>
      <w:pPr>
        <w:spacing w:after="0" w:line="374"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OMS Energy Technologies Inc.</w:t>
      </w:r>
    </w:p>
    <w:p>
      <w:pPr>
        <w:spacing w:after="0" w:line="227" w:lineRule="exact"/>
        <w:rPr>
          <w:sz w:val="20"/>
          <w:szCs w:val="20"/>
          <w:color w:val="auto"/>
        </w:rPr>
      </w:pPr>
    </w:p>
    <w:p>
      <w:pPr>
        <w:spacing w:after="0"/>
        <w:tabs>
          <w:tab w:leader="none" w:pos="5300" w:val="left"/>
          <w:tab w:leader="none" w:pos="5800" w:val="left"/>
        </w:tabs>
        <w:rPr>
          <w:sz w:val="20"/>
          <w:szCs w:val="20"/>
          <w:color w:val="auto"/>
        </w:rPr>
      </w:pPr>
      <w:r>
        <w:rPr>
          <w:rFonts w:ascii="Times New Roman" w:cs="Times New Roman" w:eastAsia="Times New Roman" w:hAnsi="Times New Roman"/>
          <w:sz w:val="18"/>
          <w:szCs w:val="18"/>
          <w:color w:val="auto"/>
        </w:rPr>
        <w:t>Date: November 21,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How Meng Hock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18415</wp:posOffset>
            </wp:positionV>
            <wp:extent cx="34461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46145" cy="17145"/>
                    </a:xfrm>
                    <a:prstGeom prst="rect">
                      <a:avLst/>
                    </a:prstGeom>
                    <a:noFill/>
                  </pic:spPr>
                </pic:pic>
              </a:graphicData>
            </a:graphic>
          </wp:anchor>
        </w:drawing>
      </w:r>
    </w:p>
    <w:p>
      <w:pPr>
        <w:spacing w:after="0" w:line="1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How Meng Hock</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Chairman, Chief Executive Officer and Executive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ind w:left="10220"/>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OMS Energy Technologies Inc. Reports Strong Cash Generation and Sustained Profitability in First Half of Fiscal Year 2026</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Record $128.7 Million Cash Position and Expansion into New International Markets Strengthen OMS’s Long-Term Growth Trajectory</w:t>
      </w:r>
    </w:p>
    <w:p>
      <w:pPr>
        <w:spacing w:after="0" w:line="23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SINGAPORE, November 21, 2025 - OMS Energy Technologies Inc. (“OMS” or the “Company”) (NASDAQ: OMSE), a growth-oriented manufacturer of surface wellhead systems (“SWS”) and oil country tubular goods (“OCTG”) for the oil and gas industry, today announced its unaudited financial results for the six months ended September 30, 2025. OMS delivered robust cash generation, healthy profitability, and significant strategic progress across international markets. Revenue performance during the period reflected more normalized call-off</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 xml:space="preserve"> orders under long-term contracts in the first half of fiscal 2026, compared with the unusually high call-off volumes in the prior-year period, amid healthy underlying demand and contract visibility.</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New partnerships in Angola and Pakistan and strong performance across Indonesia, Egypt, Oman and the United Arab Emirates (UAE) broadened OMS’s global footprint and further diversified revenue. Meanwhile, the Company maintained a solid portfolio of long-term</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contracts, highlighted by a renewed three-year agreement with PTTEP that strengthens OMS’s leadership in Thailand. In the Indonesian market, the Company’s marketing efforts are attracting new customers, such as PT Seleraya Belida (South Sumatra) and Pertamina Hulu Sanga Sanga (East Kalimantan), and driving steady growth in sales of surface wellhead and Christmas tree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Half of Fiscal Year 2026 Financial Highlights</w:t>
      </w:r>
    </w:p>
    <w:p>
      <w:pPr>
        <w:spacing w:after="0" w:line="229" w:lineRule="exact"/>
        <w:rPr>
          <w:sz w:val="20"/>
          <w:szCs w:val="20"/>
          <w:color w:val="auto"/>
        </w:rPr>
      </w:pPr>
    </w:p>
    <w:p>
      <w:pPr>
        <w:ind w:left="480" w:right="20" w:hanging="472"/>
        <w:spacing w:after="0" w:line="273" w:lineRule="auto"/>
        <w:tabs>
          <w:tab w:leader="none" w:pos="4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Total revenues </w:t>
      </w:r>
      <w:r>
        <w:rPr>
          <w:rFonts w:ascii="Times New Roman" w:cs="Times New Roman" w:eastAsia="Times New Roman" w:hAnsi="Times New Roman"/>
          <w:sz w:val="20"/>
          <w:szCs w:val="20"/>
          <w:color w:val="auto"/>
        </w:rPr>
        <w:t>were $82.8 million, with first half fiscal 2026 dynamics reflecting a more normalized call-off cadence relative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elevated volumes seen with a major client in Saudi Arabia in the prior-year period.</w:t>
      </w:r>
    </w:p>
    <w:p>
      <w:pPr>
        <w:spacing w:after="0" w:line="165" w:lineRule="exact"/>
        <w:rPr>
          <w:rFonts w:ascii="Times New Roman" w:cs="Times New Roman" w:eastAsia="Times New Roman" w:hAnsi="Times New Roman"/>
          <w:sz w:val="20"/>
          <w:szCs w:val="20"/>
          <w:color w:val="auto"/>
        </w:rPr>
      </w:pPr>
    </w:p>
    <w:p>
      <w:pPr>
        <w:ind w:left="480" w:right="20" w:hanging="472"/>
        <w:spacing w:after="0" w:line="273" w:lineRule="auto"/>
        <w:tabs>
          <w:tab w:leader="none" w:pos="4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Gross margin </w:t>
      </w:r>
      <w:r>
        <w:rPr>
          <w:rFonts w:ascii="Times New Roman" w:cs="Times New Roman" w:eastAsia="Times New Roman" w:hAnsi="Times New Roman"/>
          <w:sz w:val="20"/>
          <w:szCs w:val="20"/>
          <w:color w:val="auto"/>
        </w:rPr>
        <w:t>was 28.2%, remaining at a healthy level due to continued cost and operational discipline, despite the aforementioned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unusually higher call-off volumes in the prior-year period.</w:t>
      </w:r>
    </w:p>
    <w:p>
      <w:pPr>
        <w:spacing w:after="0" w:line="165" w:lineRule="exact"/>
        <w:rPr>
          <w:rFonts w:ascii="Times New Roman" w:cs="Times New Roman" w:eastAsia="Times New Roman" w:hAnsi="Times New Roman"/>
          <w:sz w:val="20"/>
          <w:szCs w:val="20"/>
          <w:color w:val="auto"/>
        </w:rPr>
      </w:pPr>
    </w:p>
    <w:p>
      <w:pPr>
        <w:ind w:left="480" w:hanging="472"/>
        <w:spacing w:after="0" w:line="273" w:lineRule="auto"/>
        <w:tabs>
          <w:tab w:leader="none" w:pos="4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Operating profit </w:t>
      </w:r>
      <w:r>
        <w:rPr>
          <w:rFonts w:ascii="Times New Roman" w:cs="Times New Roman" w:eastAsia="Times New Roman" w:hAnsi="Times New Roman"/>
          <w:sz w:val="20"/>
          <w:szCs w:val="20"/>
          <w:color w:val="auto"/>
        </w:rPr>
        <w:t>was $17.9 million with 21.6% operating margin, underscoring OMS’s efficient and resilient business model, tight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financial stewardship and strong supply chain management.</w:t>
      </w:r>
    </w:p>
    <w:p>
      <w:pPr>
        <w:spacing w:after="0" w:line="165" w:lineRule="exact"/>
        <w:rPr>
          <w:rFonts w:ascii="Times New Roman" w:cs="Times New Roman" w:eastAsia="Times New Roman" w:hAnsi="Times New Roman"/>
          <w:sz w:val="20"/>
          <w:szCs w:val="20"/>
          <w:color w:val="auto"/>
        </w:rPr>
      </w:pPr>
    </w:p>
    <w:p>
      <w:pPr>
        <w:ind w:left="480" w:hanging="472"/>
        <w:spacing w:after="0" w:line="273" w:lineRule="auto"/>
        <w:tabs>
          <w:tab w:leader="none" w:pos="4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cash provided by operating activities </w:t>
      </w:r>
      <w:r>
        <w:rPr>
          <w:rFonts w:ascii="Times New Roman" w:cs="Times New Roman" w:eastAsia="Times New Roman" w:hAnsi="Times New Roman"/>
          <w:sz w:val="20"/>
          <w:szCs w:val="20"/>
          <w:color w:val="auto"/>
        </w:rPr>
        <w:t>was $26.4 million, bringing the Company’s cash, cash equivalents and restricted cash to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record $128.7 million as of September 30, 2025.</w:t>
      </w:r>
    </w:p>
    <w:p>
      <w:pPr>
        <w:spacing w:after="0" w:line="15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Mr. How Meng Hock, Chairman and Chief Executive Officer of OMS, commented, “We achieved key strategic milestones in the first half of fiscal year 2026, delivering strong operating cash flow and strengthening our balance sheet to accelerate our next phase of growth and international expansion. We also maintained healthy profit margins and secured new customer wins and contract renewals in Thailand, Pakistan and Africa amid a challenging macro environment, demonstrating our business model’s resilience and strong expansion momentum. Our active order pipeline and sizeable backlog under major long-term contracts reflect solid underlying demand. Across Thailand, Indonesia and Oman, we are seeing deep customer engagement and steady request activity that supports our long-term market position. With a record cash balance, diversified revenue streams and strengthened financial fundamentals, we’re well-positioned to propel expansion, invest in product innovation and seize high-return opportunities that enhance long-term shareholder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00" w:hanging="92"/>
        <w:spacing w:after="0"/>
        <w:tabs>
          <w:tab w:leader="none" w:pos="100" w:val="left"/>
        </w:tabs>
        <w:numPr>
          <w:ilvl w:val="0"/>
          <w:numId w:val="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 call-off contract enables a customer to order products and services when needed, using pre-agreed terms that vary from customer to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6426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First Half of Fiscal 2026 Financial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Total revenues. </w:t>
      </w:r>
      <w:r>
        <w:rPr>
          <w:rFonts w:ascii="Times New Roman" w:cs="Times New Roman" w:eastAsia="Times New Roman" w:hAnsi="Times New Roman"/>
          <w:sz w:val="20"/>
          <w:szCs w:val="20"/>
          <w:color w:val="auto"/>
        </w:rPr>
        <w:t>Total revenues were $82.8 million, compared with $129.2 million for the same period in 2025. The change was primarily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attributable to exceptionally high call-off orders under long-term customer contracts in Saudi Arabia in the first half of fiscal 2025, and correspondingly a relatively high year-over-year comparison base.</w:t>
      </w:r>
    </w:p>
    <w:p>
      <w:pPr>
        <w:spacing w:after="0" w:line="155" w:lineRule="exact"/>
        <w:rPr>
          <w:sz w:val="20"/>
          <w:szCs w:val="20"/>
          <w:color w:val="auto"/>
        </w:rPr>
      </w:pPr>
    </w:p>
    <w:p>
      <w:pPr>
        <w:jc w:val="both"/>
        <w:ind w:left="480" w:hanging="472"/>
        <w:spacing w:after="0" w:line="256" w:lineRule="auto"/>
        <w:tabs>
          <w:tab w:leader="none" w:pos="4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Specialty connectors and pipes. </w:t>
      </w:r>
      <w:r>
        <w:rPr>
          <w:rFonts w:ascii="Times New Roman" w:cs="Times New Roman" w:eastAsia="Times New Roman" w:hAnsi="Times New Roman"/>
          <w:sz w:val="20"/>
          <w:szCs w:val="20"/>
          <w:color w:val="auto"/>
        </w:rPr>
        <w:t>Revenues from sales of specialty connectors and pipes were $51.1 million, compared with $95.7</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for the same period in 2025, primarily attributable to the aforementioned timing of call-off orders from a major customer in Saudi Arabia, partially offset by increased export sales to the United Arab Emirates and Indonesia.</w:t>
      </w:r>
    </w:p>
    <w:p>
      <w:pPr>
        <w:spacing w:after="0" w:line="182" w:lineRule="exact"/>
        <w:rPr>
          <w:rFonts w:ascii="Times New Roman" w:cs="Times New Roman" w:eastAsia="Times New Roman" w:hAnsi="Times New Roman"/>
          <w:sz w:val="20"/>
          <w:szCs w:val="20"/>
          <w:color w:val="auto"/>
        </w:rPr>
      </w:pPr>
    </w:p>
    <w:p>
      <w:pPr>
        <w:jc w:val="both"/>
        <w:ind w:left="480" w:hanging="472"/>
        <w:spacing w:after="0" w:line="256" w:lineRule="auto"/>
        <w:tabs>
          <w:tab w:leader="none" w:pos="4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Surface wellhead and Christmas tree equipment. </w:t>
      </w:r>
      <w:r>
        <w:rPr>
          <w:rFonts w:ascii="Times New Roman" w:cs="Times New Roman" w:eastAsia="Times New Roman" w:hAnsi="Times New Roman"/>
          <w:sz w:val="20"/>
          <w:szCs w:val="20"/>
          <w:color w:val="auto"/>
        </w:rPr>
        <w:t>Revenues from sales of surface wellhead and Christmas tree equipment were $6.2</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compared with $5.1 million for the same period in 2025. The increase was primarily attributable to increased order volumes from key customers in Indonesia, Egypt and Oman.</w:t>
      </w:r>
    </w:p>
    <w:p>
      <w:pPr>
        <w:spacing w:after="0" w:line="182" w:lineRule="exact"/>
        <w:rPr>
          <w:rFonts w:ascii="Times New Roman" w:cs="Times New Roman" w:eastAsia="Times New Roman" w:hAnsi="Times New Roman"/>
          <w:sz w:val="20"/>
          <w:szCs w:val="20"/>
          <w:color w:val="auto"/>
        </w:rPr>
      </w:pPr>
    </w:p>
    <w:p>
      <w:pPr>
        <w:jc w:val="both"/>
        <w:ind w:left="480" w:hanging="472"/>
        <w:spacing w:after="0" w:line="256" w:lineRule="auto"/>
        <w:tabs>
          <w:tab w:leader="none" w:pos="4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Premium threading services. </w:t>
      </w:r>
      <w:r>
        <w:rPr>
          <w:rFonts w:ascii="Times New Roman" w:cs="Times New Roman" w:eastAsia="Times New Roman" w:hAnsi="Times New Roman"/>
          <w:sz w:val="20"/>
          <w:szCs w:val="20"/>
          <w:color w:val="auto"/>
        </w:rPr>
        <w:t>Revenues from the rendering of premium threading services were $18.0 million, compared with $19.3</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million for the same period in 2025, mainly attributable to reduced oil and gas production in Malaysia and Singapore, partially offset by higher sales of premium threading services in Indonesia and Thailand.</w:t>
      </w:r>
    </w:p>
    <w:p>
      <w:pPr>
        <w:spacing w:after="0" w:line="182" w:lineRule="exact"/>
        <w:rPr>
          <w:rFonts w:ascii="Times New Roman" w:cs="Times New Roman" w:eastAsia="Times New Roman" w:hAnsi="Times New Roman"/>
          <w:sz w:val="20"/>
          <w:szCs w:val="20"/>
          <w:color w:val="auto"/>
        </w:rPr>
      </w:pPr>
    </w:p>
    <w:p>
      <w:pPr>
        <w:ind w:left="480" w:hanging="472"/>
        <w:spacing w:after="0" w:line="273" w:lineRule="auto"/>
        <w:tabs>
          <w:tab w:leader="none" w:pos="4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Other ancillary services. </w:t>
      </w:r>
      <w:r>
        <w:rPr>
          <w:rFonts w:ascii="Times New Roman" w:cs="Times New Roman" w:eastAsia="Times New Roman" w:hAnsi="Times New Roman"/>
          <w:sz w:val="20"/>
          <w:szCs w:val="20"/>
          <w:color w:val="auto"/>
        </w:rPr>
        <w:t>Revenues generated from other ancillary services were $7.5 million, compared with $9.1 million for the same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period in 2025, mainly attributable to softer demand for engineering services and refurbishment services.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Cost of revenues. </w:t>
      </w:r>
      <w:r>
        <w:rPr>
          <w:rFonts w:ascii="Times New Roman" w:cs="Times New Roman" w:eastAsia="Times New Roman" w:hAnsi="Times New Roman"/>
          <w:sz w:val="20"/>
          <w:szCs w:val="20"/>
          <w:color w:val="auto"/>
        </w:rPr>
        <w:t>Cost of revenues was $59.5 million, compared with $86.1 million for the same period in 2025.</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Gross profit. </w:t>
      </w:r>
      <w:r>
        <w:rPr>
          <w:rFonts w:ascii="Times New Roman" w:cs="Times New Roman" w:eastAsia="Times New Roman" w:hAnsi="Times New Roman"/>
          <w:sz w:val="20"/>
          <w:szCs w:val="20"/>
          <w:color w:val="auto"/>
        </w:rPr>
        <w:t>Gross profit was $23.3 million, compared with $43.1 million for the same period in 2025. Gross margin was 28.2%, compared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33.3% for the same period in 2025. The changes were primarily attributable to the unusually high call-off volumes under long-term customer contracts in Saudi Arabia in the first half of fiscal 2025. OMS maintained a healthy gross margin despite the change in timing of call-off orders, reflecting continued cost discipline, operational efficiency and customer engagement.</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Selling, general and administrative expenses. </w:t>
      </w:r>
      <w:r>
        <w:rPr>
          <w:rFonts w:ascii="Times New Roman" w:cs="Times New Roman" w:eastAsia="Times New Roman" w:hAnsi="Times New Roman"/>
          <w:sz w:val="20"/>
          <w:szCs w:val="20"/>
          <w:color w:val="auto"/>
        </w:rPr>
        <w:t>Selling, general and administrative expenses were $5.4 million, compared with $5.0 million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same period in 2025. The increase was primarily due to additional post-IPO compliance costs and cybersecurity readiness initiatives.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Operating profit. </w:t>
      </w:r>
      <w:r>
        <w:rPr>
          <w:rFonts w:ascii="Times New Roman" w:cs="Times New Roman" w:eastAsia="Times New Roman" w:hAnsi="Times New Roman"/>
          <w:sz w:val="20"/>
          <w:szCs w:val="20"/>
          <w:color w:val="auto"/>
        </w:rPr>
        <w:t>Operating profit was $17.9 million, compared with $38.1 million for the same period in 2025.</w:t>
      </w:r>
    </w:p>
    <w:p>
      <w:pPr>
        <w:spacing w:after="0" w:line="22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Total other (expenses)/income, net. </w:t>
      </w:r>
      <w:r>
        <w:rPr>
          <w:rFonts w:ascii="Times New Roman" w:cs="Times New Roman" w:eastAsia="Times New Roman" w:hAnsi="Times New Roman"/>
          <w:sz w:val="20"/>
          <w:szCs w:val="20"/>
          <w:color w:val="auto"/>
        </w:rPr>
        <w:t>Total other expenses, net were $0.07 million, compared with total other income, net of $0.6 million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same period in 2025. The change was primarily attributable to foreign exchange losses related to the adverse fluctuations of several Asian currencies against the US dollar during the first half fiscal year 2026.</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Net profit. </w:t>
      </w:r>
      <w:r>
        <w:rPr>
          <w:rFonts w:ascii="Times New Roman" w:cs="Times New Roman" w:eastAsia="Times New Roman" w:hAnsi="Times New Roman"/>
          <w:sz w:val="20"/>
          <w:szCs w:val="20"/>
          <w:color w:val="auto"/>
        </w:rPr>
        <w:t>Net profit was $14.6 million, compared with $30.7 million for the same period in 2025, primarily attributable to a strong base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period, driven by exceptionally high call-off volumes from a major Saudi customer in the first half of fiscal 2025. Adjusting for this, underlying demand and contract visibility remain solid.</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Basic and diluted EPS. </w:t>
      </w:r>
      <w:r>
        <w:rPr>
          <w:rFonts w:ascii="Times New Roman" w:cs="Times New Roman" w:eastAsia="Times New Roman" w:hAnsi="Times New Roman"/>
          <w:sz w:val="20"/>
          <w:szCs w:val="20"/>
          <w:color w:val="auto"/>
        </w:rPr>
        <w:t>Basic and diluted earnings per share were $0.33, compared with $0.80 for the same period in 2025, attributable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unusually high call-off volumes in the first half of fiscal 2025, and correspondingly the relatively high year-over-year comparison base. OMS’s normalized margin profile and earnings capacity remain healthy.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702945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Balance Sheet and Cash Flow</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of September 30, 2025, the Company’s cash, cash equivalents and restricted cash totaled $128.7 million, compared with $75.8 million as of March 31, 2025. The sharp increase was primarily attributable to $26.4 million of net cash provided by operating activities for the first half of 2026, as well as net proceeds of $28.9 million raised from the initial public offering, after deducting underwriting discounts and other offering expenses.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Net cash provided by operating activities was $26.4 million, compared with $23.4 million in the same period in 2025. OMS continues to prioritize strong capital discipline, maintaining a conservative balance sheet and ample liquidity to support future investments and global expansion.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23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Company’s management will hold an earnings conference call at 7:00 A.M. U.S. Eastern Time/8:00 P.M. Singapore Time on November 21, 2025, to discuss its financial results and operating performance for the first half of fiscal year 2026.</w:t>
      </w:r>
    </w:p>
    <w:p>
      <w:pPr>
        <w:spacing w:after="0" w:line="1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participants who wish to join the conference using dial-in numbers, please complete online registration using the link provided below prior to the scheduled call start time.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 Online Registration: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000FF"/>
        </w:rPr>
        <w:t>https://register-conf.media-server.com/register/BI52568cc179f54752b56e7d2ebe9884a8</w:t>
      </w:r>
    </w:p>
    <w:p>
      <w:pPr>
        <w:spacing w:after="0" w:line="207"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Upon registration, each participant will receive details for the conference call, including dial-in numbers and a unique access PIN. To join the conference, please dial the provided number, enter your PIN, and you will be connected to the conference.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A live and archived webcast of the conference call will also be available on the Company’s investor relations website at </w:t>
      </w:r>
      <w:r>
        <w:rPr>
          <w:rFonts w:ascii="Times New Roman" w:cs="Times New Roman" w:eastAsia="Times New Roman" w:hAnsi="Times New Roman"/>
          <w:sz w:val="20"/>
          <w:szCs w:val="20"/>
          <w:u w:val="single" w:color="auto"/>
          <w:color w:val="0563C1"/>
        </w:rPr>
        <w:t>ir.omsos.com</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OMS Energy Technologies Inc.</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OMS Energy Technologies Inc. (NASDAQ: OMSE) is a growth-oriented manufacturer of surface wellhead systems (SWS) and oil country tubular goods (OCTG) for the oil and gas industry. Serving both onshore and offshore exploration and production operators, OMS is a trusted engineered solutions supplier across six vital jurisdictions in the Asia Pacific, Middle Eastern and North African (MENA) regions. The Company’s 11 strategically located manufacturing facilities in key markets ensure rapid response times, customized technical solutions and seamless adaptation to evolving production and logistics needs. Beyond its core SWS and OCTG offerings, OMS also provides premium threading services to maximize operational efficiency for its customers.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 more information, please visit </w:t>
      </w:r>
      <w:r>
        <w:rPr>
          <w:rFonts w:ascii="Times New Roman" w:cs="Times New Roman" w:eastAsia="Times New Roman" w:hAnsi="Times New Roman"/>
          <w:sz w:val="20"/>
          <w:szCs w:val="20"/>
          <w:u w:val="single" w:color="auto"/>
          <w:color w:val="0563C1"/>
        </w:rPr>
        <w:t>ir.omsos.com</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 Harbor Statement</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This press release contains statements that may constitute “forward-looking” statements which are made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the Company’s beliefs, plans, and expectations, are forward-looking statements. Forward-looking statements involve inherent risks and uncertainties. Further information regarding these and other risks is included in the Company’s filings with the SEC. All information provided in this press release is as of the date of this press release, and the Company does not undertake any obligation to update any forward-looking statement, except as required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848360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9"/>
          <w:szCs w:val="19"/>
          <w:b w:val="1"/>
          <w:bCs w:val="1"/>
          <w:color w:val="auto"/>
        </w:rPr>
        <w:t>For investor and media inquiries, please contact: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OMS Energy Technologies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 Relations</w:t>
      </w:r>
    </w:p>
    <w:p>
      <w:pPr>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0563C1"/>
        </w:rPr>
        <w:t>ir@omsos.com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Piacente Financial Communications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Brandi Piacente</w:t>
      </w:r>
    </w:p>
    <w:p>
      <w:pPr>
        <w:spacing w:after="0"/>
        <w:rPr>
          <w:sz w:val="20"/>
          <w:szCs w:val="20"/>
          <w:color w:val="auto"/>
        </w:rPr>
      </w:pPr>
      <w:r>
        <w:rPr>
          <w:rFonts w:ascii="Times New Roman" w:cs="Times New Roman" w:eastAsia="Times New Roman" w:hAnsi="Times New Roman"/>
          <w:sz w:val="20"/>
          <w:szCs w:val="20"/>
          <w:color w:val="auto"/>
        </w:rPr>
        <w:t>Tel: +1-212-481-2050</w:t>
      </w:r>
    </w:p>
    <w:p>
      <w:pPr>
        <w:spacing w:after="0"/>
        <w:rPr>
          <w:sz w:val="20"/>
          <w:szCs w:val="20"/>
          <w:color w:val="auto"/>
        </w:rPr>
      </w:pPr>
      <w:r>
        <w:rPr>
          <w:rFonts w:ascii="Times New Roman" w:cs="Times New Roman" w:eastAsia="Times New Roman" w:hAnsi="Times New Roman"/>
          <w:sz w:val="20"/>
          <w:szCs w:val="20"/>
          <w:color w:val="auto"/>
        </w:rPr>
        <w:t xml:space="preserve">Email: </w:t>
      </w:r>
      <w:r>
        <w:rPr>
          <w:rFonts w:ascii="Times New Roman" w:cs="Times New Roman" w:eastAsia="Times New Roman" w:hAnsi="Times New Roman"/>
          <w:sz w:val="20"/>
          <w:szCs w:val="20"/>
          <w:u w:val="single" w:color="auto"/>
          <w:color w:val="0563C1"/>
        </w:rPr>
        <w:t>oms@thepiacentegroup.com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52" w:right="1440"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9"/>
          <w:szCs w:val="19"/>
          <w:b w:val="1"/>
          <w:bCs w:val="1"/>
          <w:color w:val="auto"/>
        </w:rPr>
        <w:t>OMS ENERGY TECHNOLOGIES INC. AND ITS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UNAUDITED CONSOLIDATED STATEMENTS OF FINANCIAL POSITIONS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2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8"/>
        </w:trPr>
        <w:tc>
          <w:tcPr>
            <w:tcW w:w="6760" w:type="dxa"/>
            <w:vAlign w:val="bottom"/>
          </w:tcPr>
          <w:p>
            <w:pPr>
              <w:spacing w:after="0"/>
              <w:rPr>
                <w:sz w:val="12"/>
                <w:szCs w:val="12"/>
                <w:color w:val="auto"/>
              </w:rPr>
            </w:pPr>
          </w:p>
        </w:tc>
        <w:tc>
          <w:tcPr>
            <w:tcW w:w="2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2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r>
      <w:tr>
        <w:trPr>
          <w:trHeight w:val="173"/>
        </w:trPr>
        <w:tc>
          <w:tcPr>
            <w:tcW w:w="676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5"/>
                <w:szCs w:val="15"/>
                <w:color w:val="auto"/>
              </w:rPr>
            </w:pPr>
          </w:p>
        </w:tc>
      </w:tr>
      <w:tr>
        <w:trPr>
          <w:trHeight w:val="142"/>
        </w:trPr>
        <w:tc>
          <w:tcPr>
            <w:tcW w:w="6760" w:type="dxa"/>
            <w:vAlign w:val="bottom"/>
          </w:tcPr>
          <w:p>
            <w:pPr>
              <w:spacing w:after="0"/>
              <w:rPr>
                <w:sz w:val="12"/>
                <w:szCs w:val="12"/>
                <w:color w:val="auto"/>
              </w:rPr>
            </w:pPr>
          </w:p>
        </w:tc>
        <w:tc>
          <w:tcPr>
            <w:tcW w:w="2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21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125,986</w:t>
            </w: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72,950</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 current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w:t>
            </w:r>
          </w:p>
        </w:tc>
        <w:tc>
          <w:tcPr>
            <w:tcW w:w="2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Trade receivables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14,613</w:t>
            </w: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13,467</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19,987</w:t>
            </w: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32,546</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and other current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2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18"/>
                <w:szCs w:val="18"/>
                <w:color w:val="auto"/>
              </w:rPr>
            </w:pPr>
          </w:p>
        </w:tc>
      </w:tr>
      <w:tr>
        <w:trPr>
          <w:trHeight w:val="216"/>
        </w:trPr>
        <w:tc>
          <w:tcPr>
            <w:tcW w:w="6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Amount due from a related party</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22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169,117</w:t>
            </w:r>
          </w:p>
        </w:tc>
        <w:tc>
          <w:tcPr>
            <w:tcW w:w="220" w:type="dxa"/>
            <w:vAlign w:val="bottom"/>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124,868</w:t>
            </w:r>
          </w:p>
        </w:tc>
        <w:tc>
          <w:tcPr>
            <w:tcW w:w="100" w:type="dxa"/>
            <w:vAlign w:val="bottom"/>
          </w:tcPr>
          <w:p>
            <w:pPr>
              <w:spacing w:after="0"/>
              <w:rPr>
                <w:sz w:val="18"/>
                <w:szCs w:val="18"/>
                <w:color w:val="auto"/>
              </w:rPr>
            </w:pPr>
          </w:p>
        </w:tc>
      </w:tr>
      <w:tr>
        <w:trPr>
          <w:trHeight w:val="209"/>
        </w:trPr>
        <w:tc>
          <w:tcPr>
            <w:tcW w:w="67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2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29,088</w:t>
            </w: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32,055</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 and other non-current assets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220" w:type="dxa"/>
            <w:vAlign w:val="bottom"/>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 w:type="dxa"/>
            <w:vAlign w:val="bottom"/>
          </w:tcPr>
          <w:p>
            <w:pPr>
              <w:spacing w:after="0"/>
              <w:rPr>
                <w:sz w:val="18"/>
                <w:szCs w:val="18"/>
                <w:color w:val="auto"/>
              </w:rPr>
            </w:pPr>
          </w:p>
        </w:tc>
      </w:tr>
      <w:tr>
        <w:trPr>
          <w:trHeight w:val="209"/>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42,560</w:t>
            </w:r>
          </w:p>
        </w:tc>
        <w:tc>
          <w:tcPr>
            <w:tcW w:w="22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45,637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211,677</w:t>
            </w:r>
          </w:p>
        </w:tc>
        <w:tc>
          <w:tcPr>
            <w:tcW w:w="220" w:type="dxa"/>
            <w:vAlign w:val="bottom"/>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170,505</w:t>
            </w:r>
          </w:p>
        </w:tc>
        <w:tc>
          <w:tcPr>
            <w:tcW w:w="10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6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and other payables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17,606</w:t>
            </w:r>
          </w:p>
        </w:tc>
        <w:tc>
          <w:tcPr>
            <w:tcW w:w="2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15,070</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Tax payable</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220" w:type="dxa"/>
            <w:vAlign w:val="bottom"/>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Pr>
          <w:p>
            <w:pPr>
              <w:spacing w:after="0"/>
              <w:rPr>
                <w:sz w:val="18"/>
                <w:szCs w:val="18"/>
                <w:color w:val="auto"/>
              </w:rPr>
            </w:pPr>
          </w:p>
        </w:tc>
      </w:tr>
      <w:tr>
        <w:trPr>
          <w:trHeight w:val="210"/>
        </w:trPr>
        <w:tc>
          <w:tcPr>
            <w:tcW w:w="6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23,716</w:t>
            </w:r>
          </w:p>
        </w:tc>
        <w:tc>
          <w:tcPr>
            <w:tcW w:w="22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24,457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benefits obligation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2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6,096</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w:t>
            </w:r>
          </w:p>
        </w:tc>
        <w:tc>
          <w:tcPr>
            <w:tcW w:w="2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00" w:type="dxa"/>
            <w:vAlign w:val="bottom"/>
          </w:tcPr>
          <w:p>
            <w:pPr>
              <w:spacing w:after="0"/>
              <w:rPr>
                <w:sz w:val="18"/>
                <w:szCs w:val="18"/>
                <w:color w:val="auto"/>
              </w:rPr>
            </w:pPr>
          </w:p>
        </w:tc>
      </w:tr>
      <w:tr>
        <w:trPr>
          <w:trHeight w:val="216"/>
        </w:trPr>
        <w:tc>
          <w:tcPr>
            <w:tcW w:w="6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10,791</w:t>
            </w:r>
          </w:p>
        </w:tc>
        <w:tc>
          <w:tcPr>
            <w:tcW w:w="220" w:type="dxa"/>
            <w:vAlign w:val="bottom"/>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11,461</w:t>
            </w:r>
          </w:p>
        </w:tc>
        <w:tc>
          <w:tcPr>
            <w:tcW w:w="100" w:type="dxa"/>
            <w:vAlign w:val="bottom"/>
          </w:tcPr>
          <w:p>
            <w:pPr>
              <w:spacing w:after="0"/>
              <w:rPr>
                <w:sz w:val="18"/>
                <w:szCs w:val="18"/>
                <w:color w:val="auto"/>
              </w:rPr>
            </w:pPr>
          </w:p>
        </w:tc>
      </w:tr>
      <w:tr>
        <w:trPr>
          <w:trHeight w:val="210"/>
        </w:trPr>
        <w:tc>
          <w:tcPr>
            <w:tcW w:w="6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34,507</w:t>
            </w:r>
          </w:p>
        </w:tc>
        <w:tc>
          <w:tcPr>
            <w:tcW w:w="22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35,918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capital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 premium</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101,556</w:t>
            </w: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72,648</w:t>
            </w: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72,077</w:t>
            </w:r>
          </w:p>
        </w:tc>
        <w:tc>
          <w:tcPr>
            <w:tcW w:w="22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58,634</w:t>
            </w:r>
          </w:p>
        </w:tc>
        <w:tc>
          <w:tcPr>
            <w:tcW w:w="100" w:type="dxa"/>
            <w:vAlign w:val="bottom"/>
          </w:tcPr>
          <w:p>
            <w:pPr>
              <w:spacing w:after="0"/>
              <w:rPr>
                <w:sz w:val="18"/>
                <w:szCs w:val="18"/>
                <w:color w:val="auto"/>
              </w:rPr>
            </w:pPr>
          </w:p>
        </w:tc>
      </w:tr>
      <w:tr>
        <w:trPr>
          <w:trHeight w:val="216"/>
        </w:trPr>
        <w:tc>
          <w:tcPr>
            <w:tcW w:w="67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(2,764)</w:t>
            </w:r>
          </w:p>
        </w:tc>
        <w:tc>
          <w:tcPr>
            <w:tcW w:w="2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(2,397)</w:t>
            </w:r>
          </w:p>
        </w:tc>
      </w:tr>
      <w:tr>
        <w:trPr>
          <w:trHeight w:val="210"/>
        </w:trPr>
        <w:tc>
          <w:tcPr>
            <w:tcW w:w="67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Equity attributable to Shareholders of the Company</w:t>
            </w: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170,873</w:t>
            </w:r>
          </w:p>
        </w:tc>
        <w:tc>
          <w:tcPr>
            <w:tcW w:w="220" w:type="dxa"/>
            <w:vAlign w:val="bottom"/>
            <w:tcBorders>
              <w:top w:val="single" w:sz="8" w:color="CFF0FC"/>
            </w:tcBorders>
          </w:tcPr>
          <w:p>
            <w:pPr>
              <w:spacing w:after="0"/>
              <w:rPr>
                <w:sz w:val="18"/>
                <w:szCs w:val="18"/>
                <w:color w:val="auto"/>
              </w:rPr>
            </w:pPr>
          </w:p>
        </w:tc>
        <w:tc>
          <w:tcPr>
            <w:tcW w:w="2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128,889</w:t>
            </w:r>
          </w:p>
        </w:tc>
        <w:tc>
          <w:tcPr>
            <w:tcW w:w="100" w:type="dxa"/>
            <w:vAlign w:val="bottom"/>
            <w:tcBorders>
              <w:top w:val="single" w:sz="8" w:color="CFF0FC"/>
            </w:tcBorders>
          </w:tcPr>
          <w:p>
            <w:pPr>
              <w:spacing w:after="0"/>
              <w:rPr>
                <w:sz w:val="18"/>
                <w:szCs w:val="18"/>
                <w:color w:val="auto"/>
              </w:rPr>
            </w:pPr>
          </w:p>
        </w:tc>
      </w:tr>
      <w:tr>
        <w:trPr>
          <w:trHeight w:val="216"/>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6,297</w:t>
            </w:r>
          </w:p>
        </w:tc>
        <w:tc>
          <w:tcPr>
            <w:tcW w:w="22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177,170</w:t>
            </w:r>
          </w:p>
        </w:tc>
        <w:tc>
          <w:tcPr>
            <w:tcW w:w="220" w:type="dxa"/>
            <w:vAlign w:val="bottom"/>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134,587</w:t>
            </w:r>
          </w:p>
        </w:tc>
        <w:tc>
          <w:tcPr>
            <w:tcW w:w="100" w:type="dxa"/>
            <w:vAlign w:val="bottom"/>
          </w:tcPr>
          <w:p>
            <w:pPr>
              <w:spacing w:after="0"/>
              <w:rPr>
                <w:sz w:val="18"/>
                <w:szCs w:val="18"/>
                <w:color w:val="auto"/>
              </w:rPr>
            </w:pPr>
          </w:p>
        </w:tc>
      </w:tr>
      <w:tr>
        <w:trPr>
          <w:trHeight w:val="210"/>
        </w:trPr>
        <w:tc>
          <w:tcPr>
            <w:tcW w:w="6760" w:type="dxa"/>
            <w:vAlign w:val="bottom"/>
            <w:shd w:val="clear" w:color="auto" w:fill="CFF0FC"/>
          </w:tcPr>
          <w:p>
            <w:pPr>
              <w:spacing w:after="0"/>
              <w:rPr>
                <w:sz w:val="18"/>
                <w:szCs w:val="18"/>
                <w:color w:val="auto"/>
              </w:rPr>
            </w:pPr>
          </w:p>
        </w:tc>
        <w:tc>
          <w:tcPr>
            <w:tcW w:w="2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211,677</w:t>
            </w:r>
          </w:p>
        </w:tc>
        <w:tc>
          <w:tcPr>
            <w:tcW w:w="220" w:type="dxa"/>
            <w:vAlign w:val="bottom"/>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170,505</w:t>
            </w:r>
          </w:p>
        </w:tc>
        <w:tc>
          <w:tcPr>
            <w:tcW w:w="100" w:type="dxa"/>
            <w:vAlign w:val="bottom"/>
          </w:tcPr>
          <w:p>
            <w:pPr>
              <w:spacing w:after="0"/>
              <w:rPr>
                <w:sz w:val="18"/>
                <w:szCs w:val="18"/>
                <w:color w:val="auto"/>
              </w:rPr>
            </w:pPr>
          </w:p>
        </w:tc>
      </w:tr>
      <w:tr>
        <w:trPr>
          <w:trHeight w:val="20"/>
        </w:trPr>
        <w:tc>
          <w:tcPr>
            <w:tcW w:w="676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351"/>
        </w:trPr>
        <w:tc>
          <w:tcPr>
            <w:tcW w:w="67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-6111240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-6111240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-4714240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-4714240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-3573780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-3573780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-2742565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-2451100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-2451100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-1619250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-1336675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9"/>
          <w:szCs w:val="19"/>
          <w:b w:val="1"/>
          <w:bCs w:val="1"/>
          <w:color w:val="auto"/>
        </w:rPr>
        <w:t>OMS ENERGY TECHNOLOGIES INC. AND ITS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UNAUDITED CONSOLIDATED STATEMENTS OF PROFIT OR LOSS AND OTHER COMPREHENSIVE INCOME</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six months</w:t>
            </w:r>
          </w:p>
        </w:tc>
        <w:tc>
          <w:tcPr>
            <w:tcW w:w="2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32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2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82,805</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129,212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82,805</w:t>
            </w:r>
          </w:p>
        </w:tc>
        <w:tc>
          <w:tcPr>
            <w:tcW w:w="2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129,212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17"/>
                <w:szCs w:val="17"/>
                <w:color w:val="auto"/>
              </w:rPr>
            </w:pPr>
          </w:p>
        </w:tc>
        <w:tc>
          <w:tcPr>
            <w:tcW w:w="358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(59,495)</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(86,126)</w:t>
            </w: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(59,495)</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(86,126)</w:t>
            </w:r>
          </w:p>
        </w:tc>
        <w:tc>
          <w:tcPr>
            <w:tcW w:w="0" w:type="dxa"/>
            <w:vAlign w:val="bottom"/>
          </w:tcPr>
          <w:p>
            <w:pPr>
              <w:spacing w:after="0"/>
              <w:rPr>
                <w:sz w:val="1"/>
                <w:szCs w:val="1"/>
                <w:color w:val="auto"/>
              </w:rPr>
            </w:pPr>
          </w:p>
        </w:tc>
      </w:tr>
      <w:tr>
        <w:trPr>
          <w:trHeight w:val="196"/>
        </w:trPr>
        <w:tc>
          <w:tcPr>
            <w:tcW w:w="3200" w:type="dxa"/>
            <w:vAlign w:val="bottom"/>
            <w:tcBorders>
              <w:top w:val="single" w:sz="8" w:color="CFF0FC"/>
            </w:tcBorders>
          </w:tcPr>
          <w:p>
            <w:pPr>
              <w:spacing w:after="0"/>
              <w:rPr>
                <w:sz w:val="17"/>
                <w:szCs w:val="17"/>
                <w:color w:val="auto"/>
              </w:rPr>
            </w:pPr>
          </w:p>
        </w:tc>
        <w:tc>
          <w:tcPr>
            <w:tcW w:w="3580" w:type="dxa"/>
            <w:vAlign w:val="bottom"/>
            <w:tcBorders>
              <w:top w:val="single" w:sz="8" w:color="CFF0FC"/>
            </w:tcBorders>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23,310</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43,086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 expenses</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(5,415)</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(4,968)</w:t>
            </w:r>
          </w:p>
        </w:tc>
        <w:tc>
          <w:tcPr>
            <w:tcW w:w="0" w:type="dxa"/>
            <w:vAlign w:val="bottom"/>
          </w:tcPr>
          <w:p>
            <w:pPr>
              <w:spacing w:after="0"/>
              <w:rPr>
                <w:sz w:val="1"/>
                <w:szCs w:val="1"/>
                <w:color w:val="auto"/>
              </w:rPr>
            </w:pPr>
          </w:p>
        </w:tc>
      </w:tr>
      <w:tr>
        <w:trPr>
          <w:trHeight w:val="196"/>
        </w:trPr>
        <w:tc>
          <w:tcPr>
            <w:tcW w:w="6780" w:type="dxa"/>
            <w:vAlign w:val="bottom"/>
            <w:tcBorders>
              <w:top w:val="single" w:sz="8" w:color="CFF0FC"/>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Operating profit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17,895</w:t>
            </w:r>
          </w:p>
        </w:tc>
        <w:tc>
          <w:tcPr>
            <w:tcW w:w="240" w:type="dxa"/>
            <w:vAlign w:val="bottom"/>
            <w:tcBorders>
              <w:top w:val="single" w:sz="8" w:color="CFF0FC"/>
            </w:tcBorders>
          </w:tcPr>
          <w:p>
            <w:pPr>
              <w:spacing w:after="0"/>
              <w:rPr>
                <w:sz w:val="17"/>
                <w:szCs w:val="17"/>
                <w:color w:val="auto"/>
              </w:rPr>
            </w:pPr>
          </w:p>
        </w:tc>
        <w:tc>
          <w:tcPr>
            <w:tcW w:w="2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38,118</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17"/>
                <w:szCs w:val="17"/>
                <w:color w:val="auto"/>
              </w:rPr>
            </w:pPr>
          </w:p>
        </w:tc>
        <w:tc>
          <w:tcPr>
            <w:tcW w:w="358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(expense)/income, net</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(74)</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other (expense)/income, net</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(74)</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FF0FC"/>
            </w:tcBorders>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Finance income</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240" w:type="dxa"/>
            <w:vAlign w:val="bottom"/>
            <w:tcBorders>
              <w:bottom w:val="single" w:sz="8" w:color="CFF0FC"/>
            </w:tcBorders>
            <w:shd w:val="clear" w:color="auto" w:fill="CFF0FC"/>
          </w:tcPr>
          <w:p>
            <w:pPr>
              <w:spacing w:after="0"/>
              <w:rPr>
                <w:sz w:val="17"/>
                <w:szCs w:val="17"/>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Total finance income</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1,554</w:t>
            </w:r>
          </w:p>
        </w:tc>
        <w:tc>
          <w:tcPr>
            <w:tcW w:w="2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FF0FC"/>
          </w:tcPr>
          <w:p>
            <w:pPr>
              <w:spacing w:after="0"/>
              <w:rPr>
                <w:sz w:val="17"/>
                <w:szCs w:val="17"/>
                <w:color w:val="auto"/>
              </w:rPr>
            </w:pPr>
          </w:p>
        </w:tc>
        <w:tc>
          <w:tcPr>
            <w:tcW w:w="358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Finance cost</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(170)</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Total finance cost</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(170)</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(122)</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Profit before tax</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19,205</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38,660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(4,604)</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(7,951)</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14,601</w:t>
            </w:r>
          </w:p>
        </w:tc>
        <w:tc>
          <w:tcPr>
            <w:tcW w:w="240" w:type="dxa"/>
            <w:vAlign w:val="bottom"/>
            <w:tcBorders>
              <w:bottom w:val="single" w:sz="8" w:color="CFF0FC"/>
            </w:tcBorders>
            <w:shd w:val="clear" w:color="auto" w:fill="CFF0FC"/>
          </w:tcPr>
          <w:p>
            <w:pPr>
              <w:spacing w:after="0"/>
              <w:rPr>
                <w:sz w:val="17"/>
                <w:szCs w:val="17"/>
                <w:color w:val="auto"/>
              </w:rPr>
            </w:pP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30,709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income/(loss):</w:t>
            </w: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780" w:type="dxa"/>
            <w:vAlign w:val="bottom"/>
            <w:gridSpan w:val="2"/>
          </w:tcPr>
          <w:p>
            <w:pPr>
              <w:spacing w:after="0" w:line="162" w:lineRule="exact"/>
              <w:rPr>
                <w:sz w:val="20"/>
                <w:szCs w:val="20"/>
                <w:color w:val="auto"/>
              </w:rPr>
            </w:pPr>
            <w:r>
              <w:rPr>
                <w:rFonts w:ascii="Times New Roman" w:cs="Times New Roman" w:eastAsia="Times New Roman" w:hAnsi="Times New Roman"/>
                <w:sz w:val="16"/>
                <w:szCs w:val="16"/>
                <w:color w:val="auto"/>
              </w:rPr>
              <w:t>Items that will not be reclassified to profit or loss</w:t>
            </w:r>
          </w:p>
        </w:tc>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200" w:type="dxa"/>
            <w:vAlign w:val="bottom"/>
            <w:tcBorders>
              <w:top w:val="single" w:sz="8" w:color="auto"/>
            </w:tcBorders>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differences</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(669)</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78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Changes resulting from actuarial remeasurement of</w:t>
            </w:r>
          </w:p>
        </w:tc>
        <w:tc>
          <w:tcPr>
            <w:tcW w:w="23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2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03"/>
        </w:trPr>
        <w:tc>
          <w:tcPr>
            <w:tcW w:w="67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employee benefits obligation</w:t>
            </w:r>
          </w:p>
        </w:tc>
        <w:tc>
          <w:tcPr>
            <w:tcW w:w="2320" w:type="dxa"/>
            <w:vAlign w:val="bottom"/>
            <w:gridSpan w:val="2"/>
            <w:vMerge w:val="continue"/>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Other comprehensive income/(loss), net of tax</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(672)</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2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13,929</w:t>
            </w:r>
          </w:p>
        </w:tc>
        <w:tc>
          <w:tcPr>
            <w:tcW w:w="240" w:type="dxa"/>
            <w:vAlign w:val="bottom"/>
            <w:tcBorders>
              <w:top w:val="single" w:sz="8" w:color="CFF0FC"/>
            </w:tcBorders>
          </w:tcPr>
          <w:p>
            <w:pPr>
              <w:spacing w:after="0"/>
              <w:rPr>
                <w:sz w:val="17"/>
                <w:szCs w:val="17"/>
                <w:color w:val="auto"/>
              </w:rPr>
            </w:pPr>
          </w:p>
        </w:tc>
        <w:tc>
          <w:tcPr>
            <w:tcW w:w="2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33,997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17"/>
                <w:szCs w:val="17"/>
                <w:color w:val="auto"/>
              </w:rPr>
            </w:pPr>
          </w:p>
        </w:tc>
        <w:tc>
          <w:tcPr>
            <w:tcW w:w="358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Net profit attributable to:</w:t>
            </w: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Shareholders of the Company</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13,840</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761</w:t>
            </w:r>
          </w:p>
        </w:tc>
        <w:tc>
          <w:tcPr>
            <w:tcW w:w="240" w:type="dxa"/>
            <w:vAlign w:val="bottom"/>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profit</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14,601</w:t>
            </w:r>
          </w:p>
        </w:tc>
        <w:tc>
          <w:tcPr>
            <w:tcW w:w="240" w:type="dxa"/>
            <w:vAlign w:val="bottom"/>
            <w:tcBorders>
              <w:bottom w:val="single" w:sz="8" w:color="CFF0FC"/>
            </w:tcBorders>
            <w:shd w:val="clear" w:color="auto" w:fill="CFF0FC"/>
          </w:tcPr>
          <w:p>
            <w:pPr>
              <w:spacing w:after="0"/>
              <w:rPr>
                <w:sz w:val="17"/>
                <w:szCs w:val="17"/>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30,709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 attributable to:</w:t>
            </w: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Shareholders of the Company</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13,473</w:t>
            </w:r>
          </w:p>
        </w:tc>
        <w:tc>
          <w:tcPr>
            <w:tcW w:w="2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240" w:type="dxa"/>
            <w:vAlign w:val="bottom"/>
            <w:tcBorders>
              <w:bottom w:val="single" w:sz="8" w:color="CFF0FC"/>
            </w:tcBorders>
            <w:shd w:val="clear" w:color="auto" w:fill="CFF0FC"/>
          </w:tcPr>
          <w:p>
            <w:pPr>
              <w:spacing w:after="0"/>
              <w:rPr>
                <w:sz w:val="17"/>
                <w:szCs w:val="17"/>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comprehensive income</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13,929</w:t>
            </w:r>
          </w:p>
        </w:tc>
        <w:tc>
          <w:tcPr>
            <w:tcW w:w="240" w:type="dxa"/>
            <w:vAlign w:val="bottom"/>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33,997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0" w:type="dxa"/>
            <w:vAlign w:val="bottom"/>
            <w:shd w:val="clear" w:color="auto" w:fill="CFF0FC"/>
          </w:tcPr>
          <w:p>
            <w:pPr>
              <w:spacing w:after="0"/>
              <w:rPr>
                <w:sz w:val="17"/>
                <w:szCs w:val="17"/>
                <w:color w:val="auto"/>
              </w:rPr>
            </w:pPr>
          </w:p>
        </w:tc>
        <w:tc>
          <w:tcPr>
            <w:tcW w:w="3580" w:type="dxa"/>
            <w:vAlign w:val="bottom"/>
            <w:shd w:val="clear" w:color="auto" w:fill="CFF0FC"/>
          </w:tcPr>
          <w:p>
            <w:pPr>
              <w:spacing w:after="0"/>
              <w:rPr>
                <w:sz w:val="17"/>
                <w:szCs w:val="17"/>
                <w:color w:val="auto"/>
              </w:rPr>
            </w:pP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Basic and diluted weighted-average shares outstanding</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41,522,778</w:t>
            </w:r>
          </w:p>
        </w:tc>
        <w:tc>
          <w:tcPr>
            <w:tcW w:w="2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36,910,250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Basic and diluted earnings per share (as adjusted) (US$)</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0.33</w:t>
            </w:r>
          </w:p>
        </w:tc>
        <w:tc>
          <w:tcPr>
            <w:tcW w:w="240" w:type="dxa"/>
            <w:vAlign w:val="bottom"/>
            <w:tcBorders>
              <w:bottom w:val="single" w:sz="8" w:color="CFF0FC"/>
            </w:tcBorders>
            <w:shd w:val="clear" w:color="auto" w:fill="CFF0FC"/>
          </w:tcPr>
          <w:p>
            <w:pPr>
              <w:spacing w:after="0"/>
              <w:rPr>
                <w:sz w:val="21"/>
                <w:szCs w:val="21"/>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0.80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459"/>
        </w:trPr>
        <w:tc>
          <w:tcPr>
            <w:tcW w:w="320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-6102985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-6102985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-5579745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-5579745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-4791075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-4791075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-3736975</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-2828290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-2030730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-2030730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-1508125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-976630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-959485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9"/>
          <w:szCs w:val="19"/>
          <w:b w:val="1"/>
          <w:bCs w:val="1"/>
          <w:color w:val="auto"/>
        </w:rPr>
        <w:t>OMS ENERGY TECHNOLOGIES INC. AND ITS SUBSIDIARIES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UNAUDITED CONSOLIDATED STATEMENTS OF CASH FLOWS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2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w:t>
            </w:r>
          </w:p>
        </w:tc>
        <w:tc>
          <w:tcPr>
            <w:tcW w:w="2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For the</w:t>
            </w:r>
          </w:p>
        </w:tc>
      </w:tr>
      <w:tr>
        <w:trPr>
          <w:trHeight w:val="148"/>
        </w:trPr>
        <w:tc>
          <w:tcPr>
            <w:tcW w:w="6780" w:type="dxa"/>
            <w:vAlign w:val="bottom"/>
          </w:tcPr>
          <w:p>
            <w:pPr>
              <w:spacing w:after="0"/>
              <w:rPr>
                <w:sz w:val="12"/>
                <w:szCs w:val="12"/>
                <w:color w:val="auto"/>
              </w:rPr>
            </w:pPr>
          </w:p>
        </w:tc>
        <w:tc>
          <w:tcPr>
            <w:tcW w:w="2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six months</w:t>
            </w:r>
          </w:p>
        </w:tc>
        <w:tc>
          <w:tcPr>
            <w:tcW w:w="2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six months</w:t>
            </w:r>
          </w:p>
        </w:tc>
      </w:tr>
      <w:tr>
        <w:trPr>
          <w:trHeight w:val="148"/>
        </w:trPr>
        <w:tc>
          <w:tcPr>
            <w:tcW w:w="6780" w:type="dxa"/>
            <w:vAlign w:val="bottom"/>
          </w:tcPr>
          <w:p>
            <w:pPr>
              <w:spacing w:after="0"/>
              <w:rPr>
                <w:sz w:val="12"/>
                <w:szCs w:val="12"/>
                <w:color w:val="auto"/>
              </w:rPr>
            </w:pPr>
          </w:p>
        </w:tc>
        <w:tc>
          <w:tcPr>
            <w:tcW w:w="23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r>
      <w:tr>
        <w:trPr>
          <w:trHeight w:val="148"/>
        </w:trPr>
        <w:tc>
          <w:tcPr>
            <w:tcW w:w="6780" w:type="dxa"/>
            <w:vAlign w:val="bottom"/>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1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6780" w:type="dxa"/>
            <w:vAlign w:val="bottom"/>
          </w:tcPr>
          <w:p>
            <w:pPr>
              <w:spacing w:after="0"/>
              <w:rPr>
                <w:sz w:val="15"/>
                <w:szCs w:val="15"/>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142"/>
        </w:trPr>
        <w:tc>
          <w:tcPr>
            <w:tcW w:w="6780" w:type="dxa"/>
            <w:vAlign w:val="bottom"/>
          </w:tcPr>
          <w:p>
            <w:pPr>
              <w:spacing w:after="0"/>
              <w:rPr>
                <w:sz w:val="12"/>
                <w:szCs w:val="12"/>
                <w:color w:val="auto"/>
              </w:rPr>
            </w:pPr>
          </w:p>
        </w:tc>
        <w:tc>
          <w:tcPr>
            <w:tcW w:w="20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40" w:type="dxa"/>
            <w:vAlign w:val="bottom"/>
          </w:tcPr>
          <w:p>
            <w:pPr>
              <w:spacing w:after="0"/>
              <w:rPr>
                <w:sz w:val="12"/>
                <w:szCs w:val="12"/>
                <w:color w:val="auto"/>
              </w:rPr>
            </w:pPr>
          </w:p>
        </w:tc>
        <w:tc>
          <w:tcPr>
            <w:tcW w:w="20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r>
      <w:tr>
        <w:trPr>
          <w:trHeight w:val="203"/>
        </w:trPr>
        <w:tc>
          <w:tcPr>
            <w:tcW w:w="6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Net profit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14,601</w:t>
            </w:r>
          </w:p>
        </w:tc>
        <w:tc>
          <w:tcPr>
            <w:tcW w:w="2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30,709</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Adjustments for:</w:t>
            </w: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 expenses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4,604</w:t>
            </w:r>
          </w:p>
        </w:tc>
        <w:tc>
          <w:tcPr>
            <w:tcW w:w="2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7,950</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of property, plant and equipment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3,188</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2,027</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tcPr>
          <w:p>
            <w:pPr>
              <w:spacing w:after="0"/>
              <w:rPr>
                <w:sz w:val="17"/>
                <w:szCs w:val="17"/>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of right-of-use assets</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Loss/(gain) on disposal of property, plant and equipment</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7"/>
                <w:szCs w:val="17"/>
                <w:color w:val="auto"/>
              </w:rPr>
            </w:pP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(135)</w:t>
            </w: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Allowance for/(reversal of) inventories obsolescence</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24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Allowance for expected credit losses</w:t>
            </w:r>
          </w:p>
        </w:tc>
        <w:tc>
          <w:tcPr>
            <w:tcW w:w="23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Finance costs</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Finance income</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(1,554)</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w:t>
            </w: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Loss/(gain) on unrealized foreign exchange</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4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(245)</w:t>
            </w:r>
          </w:p>
        </w:tc>
      </w:tr>
      <w:tr>
        <w:trPr>
          <w:trHeight w:val="183"/>
        </w:trPr>
        <w:tc>
          <w:tcPr>
            <w:tcW w:w="6780" w:type="dxa"/>
            <w:vAlign w:val="bottom"/>
            <w:tcBorders>
              <w:top w:val="single" w:sz="8" w:color="CFF0FC"/>
            </w:tcBorders>
          </w:tcPr>
          <w:p>
            <w:pPr>
              <w:spacing w:after="0"/>
              <w:rPr>
                <w:sz w:val="15"/>
                <w:szCs w:val="15"/>
                <w:color w:val="auto"/>
              </w:rPr>
            </w:pPr>
          </w:p>
        </w:tc>
        <w:tc>
          <w:tcPr>
            <w:tcW w:w="20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0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6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w:t>
            </w: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(1,146)</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(11,316)</w:t>
            </w: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Contract assets</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536</w:t>
            </w:r>
          </w:p>
        </w:tc>
        <w:tc>
          <w:tcPr>
            <w:tcW w:w="240" w:type="dxa"/>
            <w:vAlign w:val="bottom"/>
            <w:shd w:val="clear" w:color="auto" w:fill="CFF0FC"/>
          </w:tcPr>
          <w:p>
            <w:pPr>
              <w:spacing w:after="0"/>
              <w:rPr>
                <w:sz w:val="17"/>
                <w:szCs w:val="17"/>
                <w:color w:val="auto"/>
              </w:rPr>
            </w:pP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(231)</w:t>
            </w:r>
          </w:p>
        </w:tc>
      </w:tr>
      <w:tr>
        <w:trPr>
          <w:trHeight w:val="202"/>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12,228</w:t>
            </w:r>
          </w:p>
        </w:tc>
        <w:tc>
          <w:tcPr>
            <w:tcW w:w="240" w:type="dxa"/>
            <w:vAlign w:val="bottom"/>
          </w:tcPr>
          <w:p>
            <w:pPr>
              <w:spacing w:after="0"/>
              <w:rPr>
                <w:sz w:val="17"/>
                <w:szCs w:val="17"/>
                <w:color w:val="auto"/>
              </w:rPr>
            </w:pP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(20,002)</w:t>
            </w: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Prepayment and other assets</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(4,481)</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(1,220)</w:t>
            </w: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due from related parties</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(109)</w:t>
            </w: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Trade and other payables</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2,331</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19,403</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 benefits obligation</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240" w:type="dxa"/>
            <w:vAlign w:val="bottom"/>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7"/>
                <w:szCs w:val="17"/>
                <w:color w:val="auto"/>
              </w:rPr>
            </w:pPr>
          </w:p>
        </w:tc>
      </w:tr>
      <w:tr>
        <w:trPr>
          <w:trHeight w:val="196"/>
        </w:trPr>
        <w:tc>
          <w:tcPr>
            <w:tcW w:w="6780" w:type="dxa"/>
            <w:vAlign w:val="bottom"/>
            <w:shd w:val="clear" w:color="auto" w:fill="CFF0FC"/>
          </w:tcPr>
          <w:p>
            <w:pPr>
              <w:spacing w:after="0"/>
              <w:rPr>
                <w:sz w:val="17"/>
                <w:szCs w:val="17"/>
                <w:color w:val="auto"/>
              </w:rPr>
            </w:pP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32,129</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27,479</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Cash provided by operations:</w:t>
            </w: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Interest received</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Income taxes paid</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(7,323)</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(4,191)</w:t>
            </w:r>
          </w:p>
        </w:tc>
      </w:tr>
      <w:tr>
        <w:trPr>
          <w:trHeight w:val="196"/>
        </w:trPr>
        <w:tc>
          <w:tcPr>
            <w:tcW w:w="67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26,360</w:t>
            </w:r>
          </w:p>
        </w:tc>
        <w:tc>
          <w:tcPr>
            <w:tcW w:w="240" w:type="dxa"/>
            <w:vAlign w:val="bottom"/>
            <w:tcBorders>
              <w:bottom w:val="single" w:sz="8" w:color="CFF0FC"/>
            </w:tcBorders>
            <w:shd w:val="clear" w:color="auto" w:fill="CFF0FC"/>
          </w:tcPr>
          <w:p>
            <w:pPr>
              <w:spacing w:after="0"/>
              <w:rPr>
                <w:sz w:val="17"/>
                <w:szCs w:val="17"/>
                <w:color w:val="auto"/>
              </w:rPr>
            </w:pP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23,359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property, plant and equipment</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(605)</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(1,308)</w:t>
            </w: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Acquisition of intangible asset</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(327)</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(283)</w:t>
            </w: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Amount due to a related party</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(124)</w:t>
            </w:r>
          </w:p>
        </w:tc>
      </w:tr>
      <w:tr>
        <w:trPr>
          <w:trHeight w:val="20"/>
        </w:trPr>
        <w:tc>
          <w:tcPr>
            <w:tcW w:w="67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(932)</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(1,715)</w:t>
            </w:r>
          </w:p>
        </w:tc>
      </w:tr>
      <w:tr>
        <w:trPr>
          <w:trHeight w:val="196"/>
        </w:trPr>
        <w:tc>
          <w:tcPr>
            <w:tcW w:w="6780" w:type="dxa"/>
            <w:vAlign w:val="bottom"/>
            <w:tcBorders>
              <w:top w:val="single" w:sz="8" w:color="CFF0FC"/>
            </w:tcBorders>
          </w:tcPr>
          <w:p>
            <w:pPr>
              <w:spacing w:after="0"/>
              <w:rPr>
                <w:sz w:val="17"/>
                <w:szCs w:val="17"/>
                <w:color w:val="auto"/>
              </w:rPr>
            </w:pPr>
          </w:p>
        </w:tc>
        <w:tc>
          <w:tcPr>
            <w:tcW w:w="2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0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6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proceeds from issuance of shares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28,908</w:t>
            </w:r>
          </w:p>
        </w:tc>
        <w:tc>
          <w:tcPr>
            <w:tcW w:w="240" w:type="dxa"/>
            <w:vAlign w:val="bottom"/>
          </w:tcPr>
          <w:p>
            <w:pPr>
              <w:spacing w:after="0"/>
              <w:rPr>
                <w:sz w:val="17"/>
                <w:szCs w:val="17"/>
                <w:color w:val="auto"/>
              </w:rPr>
            </w:pPr>
          </w:p>
        </w:tc>
        <w:tc>
          <w:tcPr>
            <w:tcW w:w="2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Repayment of loans and borrowings</w:t>
            </w:r>
          </w:p>
        </w:tc>
        <w:tc>
          <w:tcPr>
            <w:tcW w:w="23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(6,504)</w:t>
            </w: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paid</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(170)</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(122)</w:t>
            </w:r>
          </w:p>
        </w:tc>
      </w:tr>
      <w:tr>
        <w:trPr>
          <w:trHeight w:val="203"/>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Payment of lease liabilities</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(407)</w:t>
            </w:r>
          </w:p>
        </w:tc>
        <w:tc>
          <w:tcPr>
            <w:tcW w:w="21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(476)</w:t>
            </w:r>
          </w:p>
        </w:tc>
      </w:tr>
      <w:tr>
        <w:trPr>
          <w:trHeight w:val="20"/>
        </w:trPr>
        <w:tc>
          <w:tcPr>
            <w:tcW w:w="6780" w:type="dxa"/>
            <w:vAlign w:val="bottom"/>
            <w:shd w:val="clear" w:color="auto" w:fill="CFF0FC"/>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Net cash provided by/(used in) financing activities</w:t>
            </w: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28,331</w:t>
            </w:r>
          </w:p>
        </w:tc>
        <w:tc>
          <w:tcPr>
            <w:tcW w:w="240" w:type="dxa"/>
            <w:vAlign w:val="bottom"/>
          </w:tcPr>
          <w:p>
            <w:pPr>
              <w:spacing w:after="0"/>
              <w:rPr>
                <w:sz w:val="17"/>
                <w:szCs w:val="17"/>
                <w:color w:val="auto"/>
              </w:rPr>
            </w:pP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(7,102)</w:t>
            </w:r>
          </w:p>
        </w:tc>
      </w:tr>
      <w:tr>
        <w:trPr>
          <w:trHeight w:val="196"/>
        </w:trPr>
        <w:tc>
          <w:tcPr>
            <w:tcW w:w="6780" w:type="dxa"/>
            <w:vAlign w:val="bottom"/>
            <w:shd w:val="clear" w:color="auto" w:fill="CFF0FC"/>
          </w:tcPr>
          <w:p>
            <w:pPr>
              <w:spacing w:after="0"/>
              <w:rPr>
                <w:sz w:val="17"/>
                <w:szCs w:val="17"/>
                <w:color w:val="auto"/>
              </w:rPr>
            </w:pPr>
          </w:p>
        </w:tc>
        <w:tc>
          <w:tcPr>
            <w:tcW w:w="208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Effect of foreign exchange on cash, cash equivalents and restricted cash</w:t>
            </w:r>
          </w:p>
        </w:tc>
        <w:tc>
          <w:tcPr>
            <w:tcW w:w="23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(852)</w:t>
            </w:r>
          </w:p>
        </w:tc>
        <w:tc>
          <w:tcPr>
            <w:tcW w:w="2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2,730</w:t>
            </w:r>
          </w:p>
        </w:tc>
        <w:tc>
          <w:tcPr>
            <w:tcW w:w="100" w:type="dxa"/>
            <w:vAlign w:val="bottom"/>
          </w:tcPr>
          <w:p>
            <w:pPr>
              <w:spacing w:after="0"/>
              <w:rPr>
                <w:sz w:val="17"/>
                <w:szCs w:val="17"/>
                <w:color w:val="auto"/>
              </w:rPr>
            </w:pPr>
          </w:p>
        </w:tc>
      </w:tr>
      <w:tr>
        <w:trPr>
          <w:trHeight w:val="196"/>
        </w:trPr>
        <w:tc>
          <w:tcPr>
            <w:tcW w:w="6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2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52,907</w:t>
            </w:r>
          </w:p>
        </w:tc>
        <w:tc>
          <w:tcPr>
            <w:tcW w:w="240" w:type="dxa"/>
            <w:vAlign w:val="bottom"/>
            <w:shd w:val="clear" w:color="auto" w:fill="CFF0FC"/>
          </w:tcPr>
          <w:p>
            <w:pPr>
              <w:spacing w:after="0"/>
              <w:rPr>
                <w:sz w:val="17"/>
                <w:szCs w:val="17"/>
                <w:color w:val="auto"/>
              </w:rPr>
            </w:pPr>
          </w:p>
        </w:tc>
        <w:tc>
          <w:tcPr>
            <w:tcW w:w="2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17,272</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period</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75,831</w:t>
            </w:r>
          </w:p>
        </w:tc>
        <w:tc>
          <w:tcPr>
            <w:tcW w:w="240" w:type="dxa"/>
            <w:vAlign w:val="bottom"/>
            <w:tcBorders>
              <w:bottom w:val="single" w:sz="8" w:color="CFF0FC"/>
            </w:tcBorders>
            <w:shd w:val="clear" w:color="auto" w:fill="CFF0FC"/>
          </w:tcPr>
          <w:p>
            <w:pPr>
              <w:spacing w:after="0"/>
              <w:rPr>
                <w:sz w:val="17"/>
                <w:szCs w:val="17"/>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45,430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78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128,738</w:t>
            </w:r>
          </w:p>
        </w:tc>
        <w:tc>
          <w:tcPr>
            <w:tcW w:w="240" w:type="dxa"/>
            <w:vAlign w:val="bottom"/>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62,702</w:t>
            </w:r>
          </w:p>
        </w:tc>
        <w:tc>
          <w:tcPr>
            <w:tcW w:w="100" w:type="dxa"/>
            <w:vAlign w:val="bottom"/>
          </w:tcPr>
          <w:p>
            <w:pPr>
              <w:spacing w:after="0"/>
              <w:rPr>
                <w:sz w:val="17"/>
                <w:szCs w:val="17"/>
                <w:color w:val="auto"/>
              </w:rPr>
            </w:pPr>
          </w:p>
        </w:tc>
      </w:tr>
      <w:tr>
        <w:trPr>
          <w:trHeight w:val="19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Less: Restricted cash, non-current</w:t>
            </w:r>
          </w:p>
        </w:tc>
        <w:tc>
          <w:tcPr>
            <w:tcW w:w="2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240" w:type="dxa"/>
            <w:vAlign w:val="bottom"/>
            <w:shd w:val="clear" w:color="auto" w:fill="CFF0FC"/>
          </w:tcPr>
          <w:p>
            <w:pPr>
              <w:spacing w:after="0"/>
              <w:rPr>
                <w:sz w:val="17"/>
                <w:szCs w:val="17"/>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shd w:val="clear" w:color="auto" w:fill="CFF0FC"/>
          </w:tcPr>
          <w:p>
            <w:pPr>
              <w:spacing w:after="0"/>
              <w:rPr>
                <w:sz w:val="17"/>
                <w:szCs w:val="17"/>
                <w:color w:val="auto"/>
              </w:rPr>
            </w:pPr>
          </w:p>
        </w:tc>
      </w:tr>
      <w:tr>
        <w:trPr>
          <w:trHeight w:val="203"/>
        </w:trPr>
        <w:tc>
          <w:tcPr>
            <w:tcW w:w="6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Less: Restricted cash, current</w:t>
            </w: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w:t>
            </w:r>
          </w:p>
        </w:tc>
        <w:tc>
          <w:tcPr>
            <w:tcW w:w="240" w:type="dxa"/>
            <w:vAlign w:val="bottom"/>
          </w:tcPr>
          <w:p>
            <w:pPr>
              <w:spacing w:after="0"/>
              <w:rPr>
                <w:sz w:val="17"/>
                <w:szCs w:val="17"/>
                <w:color w:val="auto"/>
              </w:rPr>
            </w:pPr>
          </w:p>
        </w:tc>
        <w:tc>
          <w:tcPr>
            <w:tcW w:w="2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1,727</w:t>
            </w:r>
          </w:p>
        </w:tc>
        <w:tc>
          <w:tcPr>
            <w:tcW w:w="100" w:type="dxa"/>
            <w:vAlign w:val="bottom"/>
          </w:tcPr>
          <w:p>
            <w:pPr>
              <w:spacing w:after="0"/>
              <w:rPr>
                <w:sz w:val="17"/>
                <w:szCs w:val="17"/>
                <w:color w:val="auto"/>
              </w:rPr>
            </w:pPr>
          </w:p>
        </w:tc>
      </w:tr>
      <w:tr>
        <w:trPr>
          <w:trHeight w:val="236"/>
        </w:trPr>
        <w:tc>
          <w:tcPr>
            <w:tcW w:w="67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125,986</w:t>
            </w:r>
          </w:p>
        </w:tc>
        <w:tc>
          <w:tcPr>
            <w:tcW w:w="240" w:type="dxa"/>
            <w:vAlign w:val="bottom"/>
            <w:tcBorders>
              <w:bottom w:val="single" w:sz="8" w:color="CFF0FC"/>
            </w:tcBorders>
            <w:shd w:val="clear" w:color="auto" w:fill="CFF0FC"/>
          </w:tcPr>
          <w:p>
            <w:pPr>
              <w:spacing w:after="0"/>
              <w:rPr>
                <w:sz w:val="20"/>
                <w:szCs w:val="20"/>
                <w:color w:val="auto"/>
              </w:rPr>
            </w:pPr>
          </w:p>
        </w:tc>
        <w:tc>
          <w:tcPr>
            <w:tcW w:w="2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60,617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351"/>
        </w:trPr>
        <w:tc>
          <w:tcPr>
            <w:tcW w:w="67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-5631180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-5631180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-3813810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-3813810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-3025140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-2245360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-1447800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-908050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-890905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sectPr>
      <w:pgSz w:w="11900" w:h="16838" w:orient="portrait"/>
      <w:cols w:equalWidth="0" w:num="1">
        <w:col w:w="11240"/>
      </w:cols>
      <w:pgMar w:left="320" w:top="114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2025-11-21T05:31:55Z</dcterms:created>
  <dcterms:modified xsi:type="dcterms:W3CDTF">2025-11-21T05:31:55Z</dcterms:modified>
</cp:coreProperties>
</file>